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80342E9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FF22FA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9C7ECE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737462">
        <w:rPr>
          <w:b/>
          <w:bCs/>
          <w:sz w:val="28"/>
          <w:szCs w:val="28"/>
        </w:rPr>
        <w:t>2</w:t>
      </w:r>
      <w:r w:rsidR="009C7ECE">
        <w:rPr>
          <w:b/>
          <w:bCs/>
          <w:sz w:val="28"/>
          <w:szCs w:val="28"/>
        </w:rPr>
        <w:t>8</w:t>
      </w:r>
      <w:r w:rsidR="00001B32">
        <w:rPr>
          <w:b/>
          <w:bCs/>
          <w:sz w:val="28"/>
          <w:szCs w:val="28"/>
        </w:rPr>
        <w:t>-</w:t>
      </w:r>
      <w:r w:rsidR="009C7ECE">
        <w:rPr>
          <w:b/>
          <w:bCs/>
          <w:sz w:val="28"/>
          <w:szCs w:val="28"/>
        </w:rPr>
        <w:t>Sep 01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5207461B" w14:textId="12B7D91E" w:rsidR="004B3B68" w:rsidRDefault="004B3B68" w:rsidP="004B3B68">
            <w:r w:rsidRPr="00A35A04">
              <w:rPr>
                <w:b/>
              </w:rPr>
              <w:t>Standard:</w:t>
            </w:r>
            <w:r>
              <w:rPr>
                <w:b/>
              </w:rPr>
              <w:t xml:space="preserve">  </w:t>
            </w:r>
            <w:r>
              <w:t>MLII.IP1 – The students: Ask questions and provide responses based on topics such as self, others, and the immediate environment.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AB1670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16946B71" w14:textId="77777777" w:rsidR="00AB1670" w:rsidRDefault="000812DB" w:rsidP="00AB1670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Block schedule</w:t>
            </w:r>
          </w:p>
          <w:p w14:paraId="4B94D5A5" w14:textId="1C1DD623" w:rsidR="000812DB" w:rsidRPr="00285558" w:rsidRDefault="000812DB" w:rsidP="00AB16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SpIII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class</w:t>
            </w:r>
          </w:p>
        </w:tc>
        <w:tc>
          <w:tcPr>
            <w:tcW w:w="2610" w:type="dxa"/>
          </w:tcPr>
          <w:p w14:paraId="1F3B4F38" w14:textId="77777777" w:rsidR="00AB1670" w:rsidRDefault="00AB1670" w:rsidP="00AB1670">
            <w:pPr>
              <w:rPr>
                <w:rFonts w:cstheme="minorHAnsi"/>
                <w:sz w:val="18"/>
                <w:szCs w:val="18"/>
              </w:rPr>
            </w:pPr>
          </w:p>
          <w:p w14:paraId="769E75BC" w14:textId="77777777" w:rsidR="000812DB" w:rsidRDefault="000812DB" w:rsidP="000812DB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Block schedule</w:t>
            </w:r>
          </w:p>
          <w:p w14:paraId="3DEEC669" w14:textId="3817B30B" w:rsidR="00AB1670" w:rsidRPr="00DC3AC3" w:rsidRDefault="000812DB" w:rsidP="000812DB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SpIII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class</w:t>
            </w:r>
          </w:p>
        </w:tc>
        <w:tc>
          <w:tcPr>
            <w:tcW w:w="2970" w:type="dxa"/>
            <w:vAlign w:val="center"/>
          </w:tcPr>
          <w:p w14:paraId="2E60C228" w14:textId="77777777" w:rsidR="000812DB" w:rsidRDefault="000812DB" w:rsidP="000812DB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Block schedule</w:t>
            </w:r>
          </w:p>
          <w:p w14:paraId="3656B9AB" w14:textId="510537FF" w:rsidR="00AB1670" w:rsidRPr="000B606F" w:rsidRDefault="000812DB" w:rsidP="000812D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SpIII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class</w:t>
            </w:r>
          </w:p>
        </w:tc>
        <w:tc>
          <w:tcPr>
            <w:tcW w:w="2340" w:type="dxa"/>
            <w:vAlign w:val="center"/>
          </w:tcPr>
          <w:p w14:paraId="1209AA1F" w14:textId="77777777" w:rsidR="000812DB" w:rsidRDefault="000812DB" w:rsidP="000812DB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Block schedule</w:t>
            </w:r>
          </w:p>
          <w:p w14:paraId="45FB0818" w14:textId="17D03318" w:rsidR="00AB1670" w:rsidRPr="00D04F3F" w:rsidRDefault="000812DB" w:rsidP="000812DB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SpIII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class</w:t>
            </w:r>
          </w:p>
        </w:tc>
        <w:tc>
          <w:tcPr>
            <w:tcW w:w="3420" w:type="dxa"/>
            <w:vMerge w:val="restart"/>
            <w:vAlign w:val="center"/>
          </w:tcPr>
          <w:p w14:paraId="03B63810" w14:textId="77777777" w:rsidR="00AB1670" w:rsidRDefault="00AB1670" w:rsidP="00AB1670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AB1670" w:rsidRPr="00BE5AE5" w:rsidRDefault="00AB1670" w:rsidP="00AB1670">
            <w:pPr>
              <w:rPr>
                <w:bCs/>
                <w:color w:val="000000" w:themeColor="text1"/>
                <w:sz w:val="24"/>
              </w:rPr>
            </w:pPr>
          </w:p>
          <w:p w14:paraId="1A763190" w14:textId="735758FD" w:rsidR="00AB1670" w:rsidRPr="00BE5AE5" w:rsidRDefault="00AB1670" w:rsidP="00AB167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5AD2F02" w14:textId="2B33E909" w:rsidR="00AB1670" w:rsidRDefault="00AB1670" w:rsidP="00AB167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17C9C" w:rsidRPr="00BE5AE5">
              <w:rPr>
                <w:bCs/>
                <w:color w:val="000000" w:themeColor="text1"/>
                <w:sz w:val="24"/>
              </w:rPr>
              <w:t>I</w:t>
            </w:r>
            <w:r w:rsidR="00C17C9C">
              <w:rPr>
                <w:bCs/>
                <w:color w:val="000000" w:themeColor="text1"/>
                <w:sz w:val="24"/>
              </w:rPr>
              <w:t xml:space="preserve"> can answer some questions about myself in Spanish</w:t>
            </w:r>
          </w:p>
          <w:p w14:paraId="017FB725" w14:textId="09D6980B" w:rsidR="00340A47" w:rsidRPr="00BE5AE5" w:rsidRDefault="0021555D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A47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340A47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340A47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1844DA9B" w14:textId="044FD1C8" w:rsidR="00AB1670" w:rsidRDefault="00AB1670" w:rsidP="00AB167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I can </w:t>
            </w:r>
            <w:r w:rsidR="00C17C9C">
              <w:rPr>
                <w:bCs/>
                <w:color w:val="000000" w:themeColor="text1"/>
                <w:sz w:val="24"/>
              </w:rPr>
              <w:t xml:space="preserve">use the present in the target </w:t>
            </w:r>
            <w:r w:rsidR="00340A47">
              <w:rPr>
                <w:bCs/>
                <w:color w:val="000000" w:themeColor="text1"/>
                <w:sz w:val="24"/>
              </w:rPr>
              <w:t>language.</w:t>
            </w:r>
          </w:p>
          <w:p w14:paraId="0B52D483" w14:textId="03AF6ECC" w:rsidR="00AB1670" w:rsidRDefault="00AB1670" w:rsidP="00AB1670">
            <w:pPr>
              <w:rPr>
                <w:b/>
                <w:color w:val="D9D9D9" w:themeColor="background1" w:themeShade="D9"/>
                <w:sz w:val="32"/>
              </w:rPr>
            </w:pPr>
          </w:p>
          <w:p w14:paraId="63B5FC83" w14:textId="77777777" w:rsidR="00AB1670" w:rsidRDefault="00AB1670" w:rsidP="00AB1670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57A51BCF" w14:textId="77777777" w:rsidR="00AB1670" w:rsidRPr="00366B1B" w:rsidRDefault="00AB1670" w:rsidP="00AB1670">
            <w:pPr>
              <w:rPr>
                <w:b/>
                <w:color w:val="000000" w:themeColor="text1"/>
                <w:sz w:val="24"/>
              </w:rPr>
            </w:pPr>
          </w:p>
          <w:p w14:paraId="7428B574" w14:textId="77777777" w:rsidR="00AB1670" w:rsidRDefault="0021555D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67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AB1670"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8C61A80" w14:textId="77777777" w:rsidR="00AB1670" w:rsidRDefault="0021555D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67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AB1670"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2F387FA" w14:textId="77777777" w:rsidR="00AB1670" w:rsidRDefault="0021555D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67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AB1670"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3B455BE" w14:textId="77777777" w:rsidR="00AB1670" w:rsidRDefault="0021555D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67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AB1670"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084A1E49" w14:textId="77777777" w:rsidR="00AB1670" w:rsidRDefault="0021555D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67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AB1670"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54F438DD" w14:textId="77777777" w:rsidR="00AB1670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AB1670" w:rsidRDefault="00AB1670" w:rsidP="00AB167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AB1670" w:rsidRPr="00FE17F3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AB167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E952C45" w:rsidR="00AB1670" w:rsidRPr="00825C2A" w:rsidRDefault="000812DB" w:rsidP="00AB167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present in Spanish</w:t>
            </w:r>
          </w:p>
        </w:tc>
        <w:tc>
          <w:tcPr>
            <w:tcW w:w="2610" w:type="dxa"/>
            <w:vAlign w:val="center"/>
          </w:tcPr>
          <w:p w14:paraId="62486C05" w14:textId="1BF864C0" w:rsidR="00AB1670" w:rsidRPr="00C17C9C" w:rsidRDefault="00C17C9C" w:rsidP="000812D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0812DB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0812DB">
              <w:rPr>
                <w:rFonts w:cstheme="minorHAnsi"/>
                <w:sz w:val="20"/>
                <w:szCs w:val="18"/>
              </w:rPr>
              <w:t>show students some pictures and verbs. Teacher will give the students the code for Duolingo. Teacher will show a short video.</w:t>
            </w:r>
          </w:p>
        </w:tc>
        <w:tc>
          <w:tcPr>
            <w:tcW w:w="2970" w:type="dxa"/>
            <w:vAlign w:val="center"/>
          </w:tcPr>
          <w:p w14:paraId="51C098E1" w14:textId="77777777" w:rsidR="00C17C9C" w:rsidRDefault="00C17C9C" w:rsidP="00C17C9C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4101652C" w14:textId="29130746" w:rsidR="00AB1670" w:rsidRPr="00FE17F3" w:rsidRDefault="00C17C9C" w:rsidP="00C17C9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0812DB">
              <w:rPr>
                <w:rFonts w:cstheme="minorHAnsi"/>
                <w:sz w:val="20"/>
                <w:szCs w:val="18"/>
              </w:rPr>
              <w:t>write complete sentences using the pictures and the verbs.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0812DB">
              <w:rPr>
                <w:rFonts w:cstheme="minorHAnsi"/>
                <w:sz w:val="20"/>
                <w:szCs w:val="18"/>
              </w:rPr>
              <w:t>Students will copy the new vocabulary from the video.</w:t>
            </w:r>
          </w:p>
        </w:tc>
        <w:tc>
          <w:tcPr>
            <w:tcW w:w="2340" w:type="dxa"/>
            <w:vAlign w:val="center"/>
          </w:tcPr>
          <w:p w14:paraId="4B99056E" w14:textId="3C66B4D4" w:rsidR="00AB1670" w:rsidRPr="00FE17F3" w:rsidRDefault="002C2B93" w:rsidP="00AB167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sz w:val="20"/>
                <w:szCs w:val="20"/>
              </w:rPr>
              <w:t>Teacher will ask the students to write 5 new words from the vocabulary.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AB1670" w:rsidRPr="00FE17F3" w:rsidRDefault="00AB1670" w:rsidP="00AB167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B167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B2A04AF" w:rsidR="00AB1670" w:rsidRPr="00825C2A" w:rsidRDefault="000812DB" w:rsidP="00AB167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present in Spanish</w:t>
            </w:r>
          </w:p>
        </w:tc>
        <w:tc>
          <w:tcPr>
            <w:tcW w:w="2610" w:type="dxa"/>
            <w:vAlign w:val="center"/>
          </w:tcPr>
          <w:p w14:paraId="3461D779" w14:textId="25E94DCE" w:rsidR="00AB1670" w:rsidRPr="00825C2A" w:rsidRDefault="00C17C9C" w:rsidP="00AB167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0812DB">
              <w:rPr>
                <w:rFonts w:cstheme="minorHAnsi"/>
                <w:sz w:val="20"/>
                <w:szCs w:val="18"/>
              </w:rPr>
              <w:t>give students the prompt to write paragraphs in Spanish. Teacher will show a short video.</w:t>
            </w:r>
          </w:p>
        </w:tc>
        <w:tc>
          <w:tcPr>
            <w:tcW w:w="2970" w:type="dxa"/>
            <w:vAlign w:val="center"/>
          </w:tcPr>
          <w:p w14:paraId="7618A425" w14:textId="76500183" w:rsidR="00C17C9C" w:rsidRDefault="00C17C9C" w:rsidP="00AB1670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CF2D8B6" w14:textId="305731CD" w:rsidR="00AB1670" w:rsidRPr="00FE17F3" w:rsidRDefault="00C17C9C" w:rsidP="00AB167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0812DB">
              <w:rPr>
                <w:rFonts w:cstheme="minorHAnsi"/>
                <w:sz w:val="20"/>
                <w:szCs w:val="18"/>
              </w:rPr>
              <w:t>write the paragraph. Students will identify the present in the video.</w:t>
            </w:r>
          </w:p>
        </w:tc>
        <w:tc>
          <w:tcPr>
            <w:tcW w:w="2340" w:type="dxa"/>
            <w:vAlign w:val="center"/>
          </w:tcPr>
          <w:p w14:paraId="0FB78278" w14:textId="65C475AF" w:rsidR="00AB1670" w:rsidRPr="00FE17F3" w:rsidRDefault="002C2B93" w:rsidP="00AB167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sz w:val="20"/>
                <w:szCs w:val="20"/>
              </w:rPr>
              <w:t>Teacher will ask the students to write 5 verbs on the present from the video.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AB1670" w:rsidRPr="00FE17F3" w:rsidRDefault="00AB1670" w:rsidP="00AB167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B167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14:paraId="0562CB0E" w14:textId="6BA42D26" w:rsidR="00AB1670" w:rsidRPr="00825C2A" w:rsidRDefault="000812DB" w:rsidP="00AB167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present in Spanish</w:t>
            </w:r>
          </w:p>
        </w:tc>
        <w:tc>
          <w:tcPr>
            <w:tcW w:w="2610" w:type="dxa"/>
            <w:vAlign w:val="center"/>
          </w:tcPr>
          <w:p w14:paraId="34CE0A41" w14:textId="7CC7AC8A" w:rsidR="00AB1670" w:rsidRPr="000E2DE5" w:rsidRDefault="002C2B93" w:rsidP="00AB1670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21555D">
              <w:rPr>
                <w:rFonts w:cstheme="minorHAnsi"/>
                <w:sz w:val="20"/>
                <w:szCs w:val="18"/>
              </w:rPr>
              <w:t xml:space="preserve"> Teacher will review the present for the quiz tomorrow. </w:t>
            </w:r>
            <w:r>
              <w:rPr>
                <w:rFonts w:cstheme="minorHAnsi"/>
                <w:sz w:val="20"/>
                <w:szCs w:val="18"/>
              </w:rPr>
              <w:t xml:space="preserve"> Teacher will tell students to go to Kahoot.</w:t>
            </w:r>
          </w:p>
        </w:tc>
        <w:tc>
          <w:tcPr>
            <w:tcW w:w="2970" w:type="dxa"/>
            <w:vAlign w:val="center"/>
          </w:tcPr>
          <w:p w14:paraId="63391109" w14:textId="1E90B4E6" w:rsidR="00340A47" w:rsidRDefault="00340A47" w:rsidP="00340A47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 w:rsidR="0021555D">
              <w:rPr>
                <w:rFonts w:cstheme="minorHAnsi"/>
                <w:sz w:val="20"/>
                <w:szCs w:val="18"/>
              </w:rPr>
              <w:t xml:space="preserve"> Students will make sure they get the subject for tomorrow’s quiz. </w:t>
            </w:r>
            <w:r w:rsidR="002C2B93">
              <w:rPr>
                <w:rFonts w:cstheme="minorHAnsi"/>
                <w:sz w:val="20"/>
                <w:szCs w:val="18"/>
              </w:rPr>
              <w:t xml:space="preserve"> Students will take the Kahoot for an informal assessment. Students will listen to the video again to get familiar with the words.</w:t>
            </w:r>
          </w:p>
          <w:p w14:paraId="62EBF3C5" w14:textId="5BB353D8" w:rsidR="00AB1670" w:rsidRPr="002E75F5" w:rsidRDefault="00AB1670" w:rsidP="00340A47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98A12B" w14:textId="522218A7" w:rsidR="00AB1670" w:rsidRPr="002C2B93" w:rsidRDefault="002C2B93" w:rsidP="00AB1670">
            <w:pPr>
              <w:rPr>
                <w:bCs/>
                <w:color w:val="000000" w:themeColor="text1"/>
              </w:rPr>
            </w:pPr>
            <w:r w:rsidRPr="002C2B93">
              <w:rPr>
                <w:bCs/>
                <w:color w:val="000000" w:themeColor="text1"/>
              </w:rPr>
              <w:t>Teacher will make sure students know they can take the Kahoot again on Canvas.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B1670" w:rsidRPr="00FE17F3" w:rsidRDefault="00AB1670" w:rsidP="00AB167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B1670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2EF45EE8" w:rsidR="00AB1670" w:rsidRPr="00825C2A" w:rsidRDefault="002C2B93" w:rsidP="00AB1670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present in Spanish</w:t>
            </w:r>
          </w:p>
        </w:tc>
        <w:tc>
          <w:tcPr>
            <w:tcW w:w="2610" w:type="dxa"/>
            <w:vAlign w:val="center"/>
          </w:tcPr>
          <w:p w14:paraId="110FFD37" w14:textId="726C8054" w:rsidR="00AB1670" w:rsidRPr="00825C2A" w:rsidRDefault="002C2B93" w:rsidP="00AB167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tell students to use Quizizz for a formal assessment.</w:t>
            </w:r>
          </w:p>
        </w:tc>
        <w:tc>
          <w:tcPr>
            <w:tcW w:w="2970" w:type="dxa"/>
            <w:vAlign w:val="center"/>
          </w:tcPr>
          <w:p w14:paraId="49701FAA" w14:textId="77777777" w:rsidR="00340A47" w:rsidRDefault="00340A47" w:rsidP="00340A47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B699379" w14:textId="04B3BB53" w:rsidR="00AB1670" w:rsidRPr="00FE17F3" w:rsidRDefault="002C2B93" w:rsidP="00340A47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take the quiz. After quiz the students will do 50 XP on Duolingo.</w:t>
            </w:r>
          </w:p>
        </w:tc>
        <w:tc>
          <w:tcPr>
            <w:tcW w:w="2340" w:type="dxa"/>
            <w:vAlign w:val="center"/>
          </w:tcPr>
          <w:p w14:paraId="3FE9F23F" w14:textId="3152CD52" w:rsidR="00AB1670" w:rsidRPr="002C2B93" w:rsidRDefault="002C2B93" w:rsidP="00AB1670">
            <w:pPr>
              <w:rPr>
                <w:b/>
                <w:color w:val="D9D9D9" w:themeColor="background1" w:themeShade="D9"/>
              </w:rPr>
            </w:pPr>
            <w:r w:rsidRPr="002C2B93">
              <w:rPr>
                <w:bCs/>
                <w:color w:val="000000" w:themeColor="text1"/>
              </w:rPr>
              <w:t>Teacher will make sure students did the quiz and Duolingo.</w:t>
            </w:r>
          </w:p>
        </w:tc>
        <w:tc>
          <w:tcPr>
            <w:tcW w:w="3420" w:type="dxa"/>
            <w:vAlign w:val="center"/>
          </w:tcPr>
          <w:p w14:paraId="08CE6F91" w14:textId="77777777" w:rsidR="00AB1670" w:rsidRPr="00FE17F3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6890">
    <w:abstractNumId w:val="3"/>
  </w:num>
  <w:num w:numId="2" w16cid:durableId="2130932845">
    <w:abstractNumId w:val="4"/>
  </w:num>
  <w:num w:numId="3" w16cid:durableId="620457021">
    <w:abstractNumId w:val="0"/>
  </w:num>
  <w:num w:numId="4" w16cid:durableId="605432362">
    <w:abstractNumId w:val="5"/>
  </w:num>
  <w:num w:numId="5" w16cid:durableId="2103841390">
    <w:abstractNumId w:val="1"/>
  </w:num>
  <w:num w:numId="6" w16cid:durableId="146272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12DB"/>
    <w:rsid w:val="00083621"/>
    <w:rsid w:val="00083F2B"/>
    <w:rsid w:val="00090D9D"/>
    <w:rsid w:val="0009592B"/>
    <w:rsid w:val="000B606F"/>
    <w:rsid w:val="000C3582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55D"/>
    <w:rsid w:val="00215CCC"/>
    <w:rsid w:val="00224DC5"/>
    <w:rsid w:val="00251F2D"/>
    <w:rsid w:val="00267443"/>
    <w:rsid w:val="00285558"/>
    <w:rsid w:val="00297A18"/>
    <w:rsid w:val="002A6C5E"/>
    <w:rsid w:val="002B4058"/>
    <w:rsid w:val="002C2B93"/>
    <w:rsid w:val="002C591E"/>
    <w:rsid w:val="002E75F5"/>
    <w:rsid w:val="00317352"/>
    <w:rsid w:val="00340A47"/>
    <w:rsid w:val="00340B45"/>
    <w:rsid w:val="00341BDD"/>
    <w:rsid w:val="003802A6"/>
    <w:rsid w:val="003928CA"/>
    <w:rsid w:val="003C3B0A"/>
    <w:rsid w:val="003C3D9D"/>
    <w:rsid w:val="003D76AE"/>
    <w:rsid w:val="003E4EBB"/>
    <w:rsid w:val="0040477A"/>
    <w:rsid w:val="004332F5"/>
    <w:rsid w:val="00440B37"/>
    <w:rsid w:val="00444B1C"/>
    <w:rsid w:val="0048087D"/>
    <w:rsid w:val="00482386"/>
    <w:rsid w:val="00490A44"/>
    <w:rsid w:val="00496503"/>
    <w:rsid w:val="004B3B68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0343"/>
    <w:rsid w:val="0057295B"/>
    <w:rsid w:val="0057469E"/>
    <w:rsid w:val="005A6D0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462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1954"/>
    <w:rsid w:val="008625E1"/>
    <w:rsid w:val="00863D75"/>
    <w:rsid w:val="008672C1"/>
    <w:rsid w:val="008828E1"/>
    <w:rsid w:val="008846DE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C7ECE"/>
    <w:rsid w:val="009E2E18"/>
    <w:rsid w:val="009F1050"/>
    <w:rsid w:val="00A14D53"/>
    <w:rsid w:val="00A35A04"/>
    <w:rsid w:val="00A51262"/>
    <w:rsid w:val="00A655BB"/>
    <w:rsid w:val="00AB1670"/>
    <w:rsid w:val="00AB2232"/>
    <w:rsid w:val="00AB2328"/>
    <w:rsid w:val="00AB6688"/>
    <w:rsid w:val="00AE55A7"/>
    <w:rsid w:val="00B23197"/>
    <w:rsid w:val="00B2372E"/>
    <w:rsid w:val="00B40388"/>
    <w:rsid w:val="00B4085F"/>
    <w:rsid w:val="00B464E3"/>
    <w:rsid w:val="00B538A1"/>
    <w:rsid w:val="00B64D5E"/>
    <w:rsid w:val="00B76182"/>
    <w:rsid w:val="00BB66B9"/>
    <w:rsid w:val="00BC1D2D"/>
    <w:rsid w:val="00BE075F"/>
    <w:rsid w:val="00BE10A2"/>
    <w:rsid w:val="00BE47A5"/>
    <w:rsid w:val="00BE5AE5"/>
    <w:rsid w:val="00C00A7A"/>
    <w:rsid w:val="00C03CE8"/>
    <w:rsid w:val="00C13587"/>
    <w:rsid w:val="00C17C9C"/>
    <w:rsid w:val="00C23CAB"/>
    <w:rsid w:val="00C56179"/>
    <w:rsid w:val="00C56468"/>
    <w:rsid w:val="00C64DF2"/>
    <w:rsid w:val="00CA5F88"/>
    <w:rsid w:val="00CB5627"/>
    <w:rsid w:val="00CD1B7B"/>
    <w:rsid w:val="00CE3880"/>
    <w:rsid w:val="00D00FAD"/>
    <w:rsid w:val="00D04E6C"/>
    <w:rsid w:val="00D04F3F"/>
    <w:rsid w:val="00D0778A"/>
    <w:rsid w:val="00D12BD3"/>
    <w:rsid w:val="00D16A48"/>
    <w:rsid w:val="00D36DD4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1607B"/>
    <w:rsid w:val="00F27920"/>
    <w:rsid w:val="00F3263B"/>
    <w:rsid w:val="00F37FEF"/>
    <w:rsid w:val="00F85AA9"/>
    <w:rsid w:val="00FA7C4E"/>
    <w:rsid w:val="00FB1BF2"/>
    <w:rsid w:val="00FC0C03"/>
    <w:rsid w:val="00FE17F3"/>
    <w:rsid w:val="00FF22FA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2023-08-24T10:28:00Z</dcterms:created>
  <dcterms:modified xsi:type="dcterms:W3CDTF">2023-08-25T13:10:00Z</dcterms:modified>
</cp:coreProperties>
</file>