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142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09"/>
        <w:gridCol w:w="1378"/>
        <w:gridCol w:w="1537"/>
        <w:gridCol w:w="1347"/>
        <w:gridCol w:w="1347"/>
        <w:gridCol w:w="2813"/>
        <w:gridCol w:w="1717"/>
        <w:gridCol w:w="1560"/>
        <w:gridCol w:w="1134"/>
        <w:tblGridChange w:id="0">
          <w:tblGrid>
            <w:gridCol w:w="1309"/>
            <w:gridCol w:w="1378"/>
            <w:gridCol w:w="1537"/>
            <w:gridCol w:w="1347"/>
            <w:gridCol w:w="1347"/>
            <w:gridCol w:w="2813"/>
            <w:gridCol w:w="1717"/>
            <w:gridCol w:w="1560"/>
            <w:gridCol w:w="1134"/>
          </w:tblGrid>
        </w:tblGridChange>
      </w:tblGrid>
      <w:tr>
        <w:trPr>
          <w:trHeight w:val="260" w:hRule="atLeast"/>
        </w:trPr>
        <w:tc>
          <w:tcPr>
            <w:shd w:fill="d9d9d9" w:val="clear"/>
          </w:tcPr>
          <w:p w:rsidR="00000000" w:rsidDel="00000000" w:rsidP="00000000" w:rsidRDefault="00000000" w:rsidRPr="00000000" w14:paraId="0000000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Teacher(s)</w:t>
            </w:r>
          </w:p>
        </w:tc>
        <w:tc>
          <w:tcPr>
            <w:tcBorders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Subject group and discipline</w:t>
            </w:r>
          </w:p>
        </w:tc>
        <w:tc>
          <w:tcPr>
            <w:gridSpan w:val="3"/>
            <w:shd w:fill="ffffff" w:val="clea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20"/>
              </w:tabs>
              <w:spacing w:after="12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Click here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ab/>
              <w:tab/>
            </w:r>
          </w:p>
        </w:tc>
      </w:tr>
      <w:tr>
        <w:trPr>
          <w:trHeight w:val="260" w:hRule="atLeast"/>
        </w:trPr>
        <w:tc>
          <w:tcPr>
            <w:shd w:fill="d9d9d9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Unit title</w:t>
            </w:r>
          </w:p>
        </w:tc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487"/>
              </w:tabs>
              <w:spacing w:after="12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MYP year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20"/>
              </w:tabs>
              <w:spacing w:after="12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Click here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Unit duration (hrs)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Click here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pStyle w:val="Heading5"/>
        <w:tabs>
          <w:tab w:val="left" w:pos="6296"/>
        </w:tabs>
        <w:contextualSpacing w:val="0"/>
        <w:rPr/>
      </w:pPr>
      <w:r w:rsidDel="00000000" w:rsidR="00000000" w:rsidRPr="00000000">
        <w:rPr/>
        <w:drawing>
          <wp:inline distB="0" distT="0" distL="0" distR="0">
            <wp:extent cx="1492403" cy="413388"/>
            <wp:effectExtent b="0" l="0" r="0" t="0"/>
            <wp:docPr id="2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2403" cy="413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1701800</wp:posOffset>
                </wp:positionH>
                <wp:positionV relativeFrom="paragraph">
                  <wp:posOffset>63500</wp:posOffset>
                </wp:positionV>
                <wp:extent cx="7188835" cy="28575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1756345" y="3641888"/>
                          <a:ext cx="717931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MYP UNIT PLANNER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 - Detailed instructions on how to use this tool are on the last page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1701800</wp:posOffset>
                </wp:positionH>
                <wp:positionV relativeFrom="paragraph">
                  <wp:posOffset>63500</wp:posOffset>
                </wp:positionV>
                <wp:extent cx="7188835" cy="285750"/>
                <wp:effectExtent b="0" l="0" r="0" t="0"/>
                <wp:wrapNone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8835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4">
      <w:pPr>
        <w:pStyle w:val="Heading5"/>
        <w:tabs>
          <w:tab w:val="left" w:pos="907"/>
          <w:tab w:val="left" w:pos="1361"/>
          <w:tab w:val="left" w:pos="1814"/>
        </w:tabs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Inquiry: Establishing the purpose of the unit</w:t>
      </w:r>
    </w:p>
    <w:tbl>
      <w:tblPr>
        <w:tblStyle w:val="Table2"/>
        <w:tblW w:w="142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44"/>
        <w:gridCol w:w="567"/>
        <w:gridCol w:w="5387"/>
        <w:gridCol w:w="106"/>
        <w:gridCol w:w="3576"/>
        <w:tblGridChange w:id="0">
          <w:tblGrid>
            <w:gridCol w:w="4644"/>
            <w:gridCol w:w="567"/>
            <w:gridCol w:w="5387"/>
            <w:gridCol w:w="106"/>
            <w:gridCol w:w="3576"/>
          </w:tblGrid>
        </w:tblGridChange>
      </w:tblGrid>
      <w:tr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12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Key concept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12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Related concept(s)</w:t>
            </w:r>
          </w:p>
        </w:tc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12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Global context</w:t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92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Select one KC by clicking on any subject group: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92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Language and Literature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75"/>
                <w:tab w:val="right" w:pos="4995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Mathematics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ab/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75"/>
                <w:tab w:val="left" w:pos="4220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Sciences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ab/>
              <w:tab/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75"/>
                <w:tab w:val="right" w:pos="5101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Individuals and Societies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ab/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75"/>
                <w:tab w:val="right" w:pos="5101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Language Acquisition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75"/>
                <w:tab w:val="right" w:pos="5101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Arts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75"/>
                <w:tab w:val="right" w:pos="5101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Physical and Health 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901"/>
                <w:tab w:val="right" w:pos="5101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Design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ab/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901"/>
                <w:tab w:val="right" w:pos="5101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901"/>
                <w:tab w:val="right" w:pos="5101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901"/>
                <w:tab w:val="right" w:pos="5101"/>
              </w:tabs>
              <w:spacing w:after="120" w:before="0" w:line="240" w:lineRule="auto"/>
              <w:ind w:left="0" w:right="0" w:firstLine="0"/>
              <w:contextualSpacing w:val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Click here for descriptions of KC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92"/>
                <w:tab w:val="right" w:pos="5171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Select one or more RC by clicking on any subject group:     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92"/>
                <w:tab w:val="right" w:pos="5171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Language and Literature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75"/>
                <w:tab w:val="left" w:pos="3818"/>
                <w:tab w:val="right" w:pos="4995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Mathematics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ab/>
              <w:tab/>
              <w:t xml:space="preserve">          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75"/>
                <w:tab w:val="left" w:pos="4220"/>
                <w:tab w:val="right" w:pos="5171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Patterns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ab/>
              <w:t xml:space="preserve">   </w:t>
              <w:tab/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75"/>
                <w:tab w:val="left" w:pos="3650"/>
                <w:tab w:val="left" w:pos="4220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Sciences - integrated                                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75"/>
                <w:tab w:val="right" w:pos="5101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Individuals and Societies - by discipline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ab/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75"/>
                <w:tab w:val="right" w:pos="5101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Individuals and Societies - integrated       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75"/>
                <w:tab w:val="right" w:pos="5101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Language Acquisition</w:t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780"/>
                <w:tab w:val="right" w:pos="5171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Arts</w:t>
              <w:tab/>
              <w:t xml:space="preserve">                              </w:t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75"/>
                <w:tab w:val="right" w:pos="5101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Physical and Health Education                 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pos="5101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Design</w:t>
            </w: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ab/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pos="5101"/>
              </w:tabs>
              <w:spacing w:after="120" w:before="0" w:line="240" w:lineRule="auto"/>
              <w:ind w:left="0" w:right="0" w:firstLine="0"/>
              <w:contextualSpacing w:val="0"/>
              <w:jc w:val="righ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Click here for descriptions of RC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3">
            <w:pPr>
              <w:tabs>
                <w:tab w:val="right" w:pos="3360"/>
              </w:tabs>
              <w:contextualSpacing w:val="0"/>
              <w:rPr>
                <w:rFonts w:ascii="Arial" w:cs="Arial" w:eastAsia="Arial" w:hAnsi="Arial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9"/>
                <w:szCs w:val="19"/>
                <w:rtl w:val="0"/>
              </w:rPr>
              <w:t xml:space="preserve">Click here to select one GC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tabs>
                <w:tab w:val="right" w:pos="3360"/>
              </w:tabs>
              <w:contextualSpacing w:val="0"/>
              <w:rPr>
                <w:rFonts w:ascii="Arial" w:cs="Arial" w:eastAsia="Arial" w:hAnsi="Arial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tabs>
                <w:tab w:val="right" w:pos="3360"/>
              </w:tabs>
              <w:contextualSpacing w:val="0"/>
              <w:rPr>
                <w:rFonts w:ascii="Arial" w:cs="Arial" w:eastAsia="Arial" w:hAnsi="Arial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tabs>
                <w:tab w:val="right" w:pos="3360"/>
              </w:tabs>
              <w:contextualSpacing w:val="0"/>
              <w:rPr>
                <w:rFonts w:ascii="Arial" w:cs="Arial" w:eastAsia="Arial" w:hAnsi="Arial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tabs>
                <w:tab w:val="right" w:pos="3360"/>
              </w:tabs>
              <w:contextualSpacing w:val="0"/>
              <w:rPr>
                <w:rFonts w:ascii="Arial" w:cs="Arial" w:eastAsia="Arial" w:hAnsi="Arial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tabs>
                <w:tab w:val="right" w:pos="3360"/>
              </w:tabs>
              <w:contextualSpacing w:val="0"/>
              <w:rPr>
                <w:rFonts w:ascii="Arial" w:cs="Arial" w:eastAsia="Arial" w:hAnsi="Arial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tabs>
                <w:tab w:val="right" w:pos="3360"/>
              </w:tabs>
              <w:contextualSpacing w:val="0"/>
              <w:rPr>
                <w:rFonts w:ascii="Arial" w:cs="Arial" w:eastAsia="Arial" w:hAnsi="Arial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tabs>
                <w:tab w:val="right" w:pos="3360"/>
              </w:tabs>
              <w:contextualSpacing w:val="0"/>
              <w:rPr>
                <w:rFonts w:ascii="Arial" w:cs="Arial" w:eastAsia="Arial" w:hAnsi="Arial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tabs>
                <w:tab w:val="right" w:pos="3360"/>
              </w:tabs>
              <w:contextualSpacing w:val="0"/>
              <w:rPr>
                <w:rFonts w:ascii="Arial" w:cs="Arial" w:eastAsia="Arial" w:hAnsi="Arial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tabs>
                <w:tab w:val="right" w:pos="3360"/>
              </w:tabs>
              <w:contextualSpacing w:val="0"/>
              <w:rPr>
                <w:rFonts w:ascii="Arial" w:cs="Arial" w:eastAsia="Arial" w:hAnsi="Arial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tabs>
                <w:tab w:val="right" w:pos="3360"/>
              </w:tabs>
              <w:contextualSpacing w:val="0"/>
              <w:rPr>
                <w:rFonts w:ascii="Arial" w:cs="Arial" w:eastAsia="Arial" w:hAnsi="Arial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tabs>
                <w:tab w:val="right" w:pos="3360"/>
              </w:tabs>
              <w:contextualSpacing w:val="0"/>
              <w:rPr>
                <w:rFonts w:ascii="Arial" w:cs="Arial" w:eastAsia="Arial" w:hAnsi="Arial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tabs>
                <w:tab w:val="right" w:pos="3360"/>
              </w:tabs>
              <w:contextualSpacing w:val="0"/>
              <w:rPr>
                <w:rFonts w:ascii="Arial" w:cs="Arial" w:eastAsia="Arial" w:hAnsi="Arial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tabs>
                <w:tab w:val="right" w:pos="3360"/>
              </w:tabs>
              <w:contextualSpacing w:val="0"/>
              <w:jc w:val="right"/>
              <w:rPr>
                <w:rFonts w:ascii="Arial" w:cs="Arial" w:eastAsia="Arial" w:hAnsi="Aria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sz w:val="19"/>
                <w:szCs w:val="19"/>
                <w:rtl w:val="0"/>
              </w:rPr>
              <w:t xml:space="preserve">Click here for descriptions of GC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tabs>
                <w:tab w:val="right" w:pos="3360"/>
              </w:tabs>
              <w:contextualSpacing w:val="0"/>
              <w:rPr>
                <w:rFonts w:ascii="Arial" w:cs="Arial" w:eastAsia="Arial" w:hAnsi="Arial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tabs>
                <w:tab w:val="right" w:pos="3360"/>
              </w:tabs>
              <w:contextualSpacing w:val="0"/>
              <w:jc w:val="right"/>
              <w:rPr>
                <w:rFonts w:ascii="Arial" w:cs="Arial" w:eastAsia="Arial" w:hAnsi="Arial"/>
                <w:b w:val="1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sz w:val="19"/>
                <w:szCs w:val="19"/>
                <w:rtl w:val="0"/>
              </w:rPr>
              <w:t xml:space="preserve">Click here for focus questions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contextualSpacing w:val="0"/>
              <w:jc w:val="right"/>
              <w:rPr>
                <w:rFonts w:ascii="Arial" w:cs="Arial" w:eastAsia="Arial" w:hAnsi="Arial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contextualSpacing w:val="0"/>
              <w:jc w:val="right"/>
              <w:rPr>
                <w:rFonts w:ascii="Arial" w:cs="Arial" w:eastAsia="Arial" w:hAnsi="Arial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sz w:val="19"/>
                <w:szCs w:val="19"/>
                <w:rtl w:val="0"/>
              </w:rPr>
              <w:t xml:space="preserve">Click here for example explorations</w:t>
            </w:r>
          </w:p>
          <w:p w:rsidR="00000000" w:rsidDel="00000000" w:rsidP="00000000" w:rsidRDefault="00000000" w:rsidRPr="00000000" w14:paraId="00000045">
            <w:pPr>
              <w:contextualSpacing w:val="0"/>
              <w:jc w:val="right"/>
              <w:rPr>
                <w:rFonts w:ascii="Arial" w:cs="Arial" w:eastAsia="Arial" w:hAnsi="Arial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shd w:fill="d9d9d9" w:val="clea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12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Statement of inquiry</w:t>
            </w:r>
          </w:p>
        </w:tc>
      </w:tr>
      <w:tr>
        <w:tc>
          <w:tcPr>
            <w:gridSpan w:val="5"/>
            <w:shd w:fill="auto" w:val="clea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Verdana" w:cs="Verdana" w:eastAsia="Verdana" w:hAnsi="Verdana"/>
                <w:b w:val="0"/>
                <w:i w:val="1"/>
                <w:smallCaps w:val="0"/>
                <w:strike w:val="0"/>
                <w:color w:val="555555"/>
                <w:sz w:val="18"/>
                <w:szCs w:val="18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555555"/>
                <w:sz w:val="19"/>
                <w:szCs w:val="19"/>
                <w:highlight w:val="white"/>
                <w:u w:val="none"/>
                <w:vertAlign w:val="baseline"/>
                <w:rtl w:val="0"/>
              </w:rPr>
              <w:t xml:space="preserve">Click here for criteria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Click here for examples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5"/>
            <w:shd w:fill="d9d9d9" w:val="clea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12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Inquiry questions</w:t>
            </w:r>
          </w:p>
        </w:tc>
      </w:tr>
      <w:tr>
        <w:tc>
          <w:tcPr>
            <w:gridSpan w:val="5"/>
            <w:shd w:fill="auto" w:val="clea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12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Click on the type of question for its description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12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Factual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Conceptual</w:t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Debatable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Student-generated questions:</w:t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-</w:t>
            </w:r>
          </w:p>
        </w:tc>
      </w:tr>
      <w:tr>
        <w:tc>
          <w:tcPr>
            <w:shd w:fill="d9d9d9" w:val="clea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12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Objectives </w:t>
            </w:r>
          </w:p>
        </w:tc>
        <w:tc>
          <w:tcPr>
            <w:gridSpan w:val="4"/>
            <w:shd w:fill="d9d9d9" w:val="clear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12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Summative assessment</w:t>
            </w:r>
          </w:p>
        </w:tc>
      </w:tr>
      <w:tr>
        <w:trPr>
          <w:trHeight w:val="1760" w:hRule="atLeast"/>
        </w:trPr>
        <w:tc>
          <w:tcPr>
            <w:shd w:fill="auto" w:val="clea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705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Click on any subject group below: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705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Language and Literature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ab/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Mathematics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Sciences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pos="4428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Individuals and Societies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right" w:pos="4428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Language Acquisition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Arts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Physical and Health 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Design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Outline of summative assessment task(s) including assessment criteria (click here for questions to ask during planning):</w:t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Relationship between summative assessment task(s) and statement of inquiry:</w:t>
            </w:r>
          </w:p>
        </w:tc>
      </w:tr>
      <w:tr>
        <w:tc>
          <w:tcPr>
            <w:gridSpan w:val="5"/>
            <w:shd w:fill="d9d9d9" w:val="clea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12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Approaches to learning (ATL)</w:t>
            </w:r>
          </w:p>
        </w:tc>
      </w:tr>
      <w:tr>
        <w:tc>
          <w:tcPr>
            <w:gridSpan w:val="5"/>
            <w:shd w:fill="auto" w:val="clear"/>
          </w:tcPr>
          <w:p w:rsidR="00000000" w:rsidDel="00000000" w:rsidP="00000000" w:rsidRDefault="00000000" w:rsidRPr="00000000" w14:paraId="0000008A">
            <w:pPr>
              <w:tabs>
                <w:tab w:val="left" w:pos="6229"/>
              </w:tabs>
              <w:contextualSpacing w:val="0"/>
              <w:rPr>
                <w:rFonts w:ascii="Arial" w:cs="Arial" w:eastAsia="Arial" w:hAnsi="Arial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tabs>
                <w:tab w:val="left" w:pos="6229"/>
              </w:tabs>
              <w:contextualSpacing w:val="0"/>
              <w:rPr>
                <w:rFonts w:ascii="Arial" w:cs="Arial" w:eastAsia="Arial" w:hAnsi="Arial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sz w:val="19"/>
                <w:szCs w:val="19"/>
                <w:rtl w:val="0"/>
              </w:rPr>
              <w:t xml:space="preserve">Click on any ATL below:</w:t>
            </w:r>
          </w:p>
          <w:p w:rsidR="00000000" w:rsidDel="00000000" w:rsidP="00000000" w:rsidRDefault="00000000" w:rsidRPr="00000000" w14:paraId="0000008C">
            <w:pPr>
              <w:tabs>
                <w:tab w:val="left" w:pos="6229"/>
              </w:tabs>
              <w:contextualSpacing w:val="0"/>
              <w:rPr>
                <w:rFonts w:ascii="Arial" w:cs="Arial" w:eastAsia="Arial" w:hAnsi="Arial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tabs>
                <w:tab w:val="left" w:pos="6229"/>
              </w:tabs>
              <w:contextualSpacing w:val="0"/>
              <w:rPr>
                <w:rFonts w:ascii="Arial" w:cs="Arial" w:eastAsia="Arial" w:hAnsi="Arial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sz w:val="19"/>
                <w:szCs w:val="19"/>
                <w:rtl w:val="0"/>
              </w:rPr>
              <w:t xml:space="preserve">COMMUNICATION: Communication Skills</w:t>
            </w:r>
          </w:p>
          <w:p w:rsidR="00000000" w:rsidDel="00000000" w:rsidP="00000000" w:rsidRDefault="00000000" w:rsidRPr="00000000" w14:paraId="0000008E">
            <w:pPr>
              <w:tabs>
                <w:tab w:val="left" w:pos="7870"/>
              </w:tabs>
              <w:contextualSpacing w:val="0"/>
              <w:rPr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sz w:val="19"/>
                <w:szCs w:val="19"/>
                <w:rtl w:val="0"/>
              </w:rPr>
              <w:t xml:space="preserve">SOCIAL: Collaboration Skills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19"/>
                <w:szCs w:val="19"/>
                <w:rtl w:val="0"/>
              </w:rPr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contextualSpacing w:val="0"/>
              <w:rPr>
                <w:rFonts w:ascii="Arial" w:cs="Arial" w:eastAsia="Arial" w:hAnsi="Arial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9"/>
                <w:szCs w:val="19"/>
                <w:rtl w:val="0"/>
              </w:rPr>
              <w:t xml:space="preserve">SELF-MANAGEMENT: Organization Skills</w:t>
            </w:r>
          </w:p>
          <w:p w:rsidR="00000000" w:rsidDel="00000000" w:rsidP="00000000" w:rsidRDefault="00000000" w:rsidRPr="00000000" w14:paraId="00000090">
            <w:pPr>
              <w:contextualSpacing w:val="0"/>
              <w:rPr>
                <w:rFonts w:ascii="Arial" w:cs="Arial" w:eastAsia="Arial" w:hAnsi="Arial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9"/>
                <w:szCs w:val="19"/>
                <w:rtl w:val="0"/>
              </w:rPr>
              <w:t xml:space="preserve">SELF-MANAGEMENT: Affective Skills     </w:t>
            </w:r>
          </w:p>
          <w:p w:rsidR="00000000" w:rsidDel="00000000" w:rsidP="00000000" w:rsidRDefault="00000000" w:rsidRPr="00000000" w14:paraId="00000091">
            <w:pPr>
              <w:tabs>
                <w:tab w:val="left" w:pos="8506"/>
              </w:tabs>
              <w:contextualSpacing w:val="0"/>
              <w:rPr>
                <w:rFonts w:ascii="Arial" w:cs="Arial" w:eastAsia="Arial" w:hAnsi="Arial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9"/>
                <w:szCs w:val="19"/>
                <w:rtl w:val="0"/>
              </w:rPr>
              <w:t xml:space="preserve">SELF-MANAGEMENT: Reflection skills</w:t>
              <w:tab/>
            </w:r>
          </w:p>
          <w:p w:rsidR="00000000" w:rsidDel="00000000" w:rsidP="00000000" w:rsidRDefault="00000000" w:rsidRPr="00000000" w14:paraId="00000092">
            <w:pPr>
              <w:contextualSpacing w:val="0"/>
              <w:rPr>
                <w:rFonts w:ascii="Arial" w:cs="Arial" w:eastAsia="Arial" w:hAnsi="Arial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9"/>
                <w:szCs w:val="19"/>
                <w:rtl w:val="0"/>
              </w:rPr>
              <w:t xml:space="preserve">RESEARCH: Information literacy skills</w:t>
            </w:r>
          </w:p>
          <w:p w:rsidR="00000000" w:rsidDel="00000000" w:rsidP="00000000" w:rsidRDefault="00000000" w:rsidRPr="00000000" w14:paraId="00000093">
            <w:pPr>
              <w:tabs>
                <w:tab w:val="left" w:pos="11470"/>
                <w:tab w:val="left" w:pos="12223"/>
                <w:tab w:val="left" w:pos="13178"/>
              </w:tabs>
              <w:contextualSpacing w:val="0"/>
              <w:rPr>
                <w:rFonts w:ascii="Arial" w:cs="Arial" w:eastAsia="Arial" w:hAnsi="Arial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9"/>
                <w:szCs w:val="19"/>
                <w:rtl w:val="0"/>
              </w:rPr>
              <w:t xml:space="preserve">RESEARCH: Media literacy skills</w:t>
              <w:tab/>
              <w:tab/>
            </w:r>
          </w:p>
          <w:p w:rsidR="00000000" w:rsidDel="00000000" w:rsidP="00000000" w:rsidRDefault="00000000" w:rsidRPr="00000000" w14:paraId="00000094">
            <w:pPr>
              <w:tabs>
                <w:tab w:val="left" w:pos="11470"/>
                <w:tab w:val="left" w:pos="13178"/>
              </w:tabs>
              <w:contextualSpacing w:val="0"/>
              <w:rPr>
                <w:rFonts w:ascii="Arial" w:cs="Arial" w:eastAsia="Arial" w:hAnsi="Arial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9"/>
                <w:szCs w:val="19"/>
                <w:rtl w:val="0"/>
              </w:rPr>
              <w:t xml:space="preserve">THINKING: Critical-thinking Skills</w:t>
            </w:r>
          </w:p>
          <w:p w:rsidR="00000000" w:rsidDel="00000000" w:rsidP="00000000" w:rsidRDefault="00000000" w:rsidRPr="00000000" w14:paraId="00000095">
            <w:pPr>
              <w:contextualSpacing w:val="0"/>
              <w:rPr>
                <w:rFonts w:ascii="Arial" w:cs="Arial" w:eastAsia="Arial" w:hAnsi="Arial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9"/>
                <w:szCs w:val="19"/>
                <w:rtl w:val="0"/>
              </w:rPr>
              <w:t xml:space="preserve">THINKING: Creative-thinking Skills</w:t>
            </w:r>
          </w:p>
          <w:p w:rsidR="00000000" w:rsidDel="00000000" w:rsidP="00000000" w:rsidRDefault="00000000" w:rsidRPr="00000000" w14:paraId="00000096">
            <w:pPr>
              <w:tabs>
                <w:tab w:val="left" w:pos="13050"/>
              </w:tabs>
              <w:contextualSpacing w:val="0"/>
              <w:rPr>
                <w:rFonts w:ascii="Arial" w:cs="Arial" w:eastAsia="Arial" w:hAnsi="Arial"/>
                <w:color w:val="000000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19"/>
                <w:szCs w:val="19"/>
                <w:rtl w:val="0"/>
              </w:rPr>
              <w:t xml:space="preserve">THINKING: Transfer skills</w:t>
              <w:tab/>
            </w:r>
          </w:p>
          <w:p w:rsidR="00000000" w:rsidDel="00000000" w:rsidP="00000000" w:rsidRDefault="00000000" w:rsidRPr="00000000" w14:paraId="00000097">
            <w:pPr>
              <w:tabs>
                <w:tab w:val="left" w:pos="13050"/>
              </w:tabs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C">
      <w:pPr>
        <w:pStyle w:val="Heading5"/>
        <w:tabs>
          <w:tab w:val="left" w:pos="907"/>
          <w:tab w:val="left" w:pos="1361"/>
          <w:tab w:val="left" w:pos="1814"/>
        </w:tabs>
        <w:contextualSpacing w:val="0"/>
        <w:rPr/>
      </w:pPr>
      <w:r w:rsidDel="00000000" w:rsidR="00000000" w:rsidRPr="00000000">
        <w:rPr>
          <w:rtl w:val="0"/>
        </w:rPr>
        <w:t xml:space="preserve">Action: Teaching and learning through inquiry</w:t>
      </w:r>
    </w:p>
    <w:tbl>
      <w:tblPr>
        <w:tblStyle w:val="Table3"/>
        <w:tblW w:w="1417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644"/>
        <w:gridCol w:w="9530"/>
        <w:tblGridChange w:id="0">
          <w:tblGrid>
            <w:gridCol w:w="4644"/>
            <w:gridCol w:w="9530"/>
          </w:tblGrid>
        </w:tblGridChange>
      </w:tblGrid>
      <w:tr>
        <w:tc>
          <w:tcPr>
            <w:shd w:fill="d9d9d9" w:val="clea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12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Content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 (click here for description)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6450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Learning process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 (click here for description)</w:t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20" w:hRule="atLeast"/>
        </w:trPr>
        <w:tc>
          <w:tcPr>
            <w:vMerge w:val="restart"/>
            <w:shd w:fill="auto" w:val="clea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Learning experiences and teaching strategies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(click here for description)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20" w:hRule="atLeast"/>
        </w:trPr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Formative assessment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(click here for description)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20" w:hRule="atLeast"/>
        </w:trPr>
        <w:tc>
          <w:tcPr>
            <w:vMerge w:val="continue"/>
            <w:shd w:fill="auto" w:val="clear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Differentiation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(click here for description)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40" w:hRule="atLeast"/>
        </w:trPr>
        <w:tc>
          <w:tcPr>
            <w:gridSpan w:val="2"/>
            <w:shd w:fill="d9d9d9" w:val="clear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12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Resources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(click here for description)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9">
      <w:pPr>
        <w:pStyle w:val="Heading5"/>
        <w:tabs>
          <w:tab w:val="left" w:pos="907"/>
          <w:tab w:val="left" w:pos="1361"/>
          <w:tab w:val="left" w:pos="1814"/>
        </w:tabs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Reflection: Considering the planning, process and impact of the inquiry</w:t>
      </w:r>
    </w:p>
    <w:tbl>
      <w:tblPr>
        <w:tblStyle w:val="Table4"/>
        <w:tblW w:w="1417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24"/>
        <w:gridCol w:w="4725"/>
        <w:gridCol w:w="4725"/>
        <w:tblGridChange w:id="0">
          <w:tblGrid>
            <w:gridCol w:w="4724"/>
            <w:gridCol w:w="4725"/>
            <w:gridCol w:w="4725"/>
          </w:tblGrid>
        </w:tblGridChange>
      </w:tblGrid>
      <w:tr>
        <w:tc>
          <w:tcPr>
            <w:shd w:fill="d9d9d9" w:val="clear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12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Prior to teaching the unit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(click here)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12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During teaching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(click here)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12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After teaching the unit 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  <w:rtl w:val="0"/>
              </w:rPr>
              <w:t xml:space="preserve">(click here)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40" w:hRule="atLeast"/>
        </w:trPr>
        <w:tc>
          <w:tcPr/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54"/>
                <w:tab w:val="left" w:pos="907"/>
                <w:tab w:val="left" w:pos="1361"/>
                <w:tab w:val="left" w:pos="1814"/>
              </w:tabs>
              <w:spacing w:after="120" w:before="0" w:line="240" w:lineRule="auto"/>
              <w:ind w:left="0" w:right="0" w:firstLine="0"/>
              <w:contextualSpacing w:val="0"/>
              <w:jc w:val="lef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9"/>
                <w:szCs w:val="19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4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contextualSpacing w:val="0"/>
        <w:rPr>
          <w:rFonts w:ascii="Arial" w:cs="Arial" w:eastAsia="Arial" w:hAnsi="Arial"/>
          <w:sz w:val="40"/>
          <w:szCs w:val="40"/>
          <w:u w:val="single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u w:val="single"/>
          <w:rtl w:val="0"/>
        </w:rPr>
        <w:t xml:space="preserve">Instructions</w:t>
      </w:r>
    </w:p>
    <w:p w:rsidR="00000000" w:rsidDel="00000000" w:rsidP="00000000" w:rsidRDefault="00000000" w:rsidRPr="00000000" w14:paraId="000000C6">
      <w:pPr>
        <w:contextualSpacing w:val="0"/>
        <w:rPr>
          <w:rFonts w:ascii="Arial" w:cs="Arial" w:eastAsia="Arial" w:hAnsi="Arial"/>
          <w:sz w:val="40"/>
          <w:szCs w:val="4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contextualSpacing w:val="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Attention! This file will not function properly with older versions of Microsoft Word. Mac users have not been able to open it either.</w:t>
      </w:r>
    </w:p>
    <w:p w:rsidR="00000000" w:rsidDel="00000000" w:rsidP="00000000" w:rsidRDefault="00000000" w:rsidRPr="00000000" w14:paraId="000000C9">
      <w:pPr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Most of the content has integrated drop-down lists that unpack the headings further. Click in the middle of a word or a phrase to check whether it has an integrated control attached to it. </w:t>
      </w:r>
    </w:p>
    <w:p w:rsidR="00000000" w:rsidDel="00000000" w:rsidP="00000000" w:rsidRDefault="00000000" w:rsidRPr="00000000" w14:paraId="000000CB">
      <w:pPr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2. Every drop-down list can be copied and pasted, if several strands from the same list are required. In order to do that, click on the item to be copied; then click on the blue bar on the left to highlight the item; then right-click in the centre of the item, and choose ‘copy’ from the menu. Copy and paste wherever and as many times as needed.</w:t>
      </w:r>
    </w:p>
    <w:p w:rsidR="00000000" w:rsidDel="00000000" w:rsidP="00000000" w:rsidRDefault="00000000" w:rsidRPr="00000000" w14:paraId="000000CD">
      <w:pPr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3. Every drop-down list can be either deleted or deactivated in order to get rid of unwanted content. To delete, click on the item to be deleted; then click on the blue bar on the left to highlight the item; then press ‘delete’ button. This will permanently remove the drop-down list. To deactivate, click on the item to be deactivated, and select the blank row at the bottom of the drop-down list. The list will become invisible, and can still be used later if needed.</w:t>
      </w:r>
    </w:p>
    <w:p w:rsidR="00000000" w:rsidDel="00000000" w:rsidP="00000000" w:rsidRDefault="00000000" w:rsidRPr="00000000" w14:paraId="000000CF">
      <w:pPr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4. Every drop-down list can be edited. Go to “Word Options” – “Show Developer Tab in the Ribbon” – click on Developer, once it shows up in the ribbon – click on “Properties” (under Controls) to edit the drop-down list. You can create new lists by clicking on the Drop-down list icon (under Controls).</w:t>
      </w:r>
    </w:p>
    <w:p w:rsidR="00000000" w:rsidDel="00000000" w:rsidP="00000000" w:rsidRDefault="00000000" w:rsidRPr="00000000" w14:paraId="000000D1">
      <w:pPr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5. To edit spacing between the lists or start a new line, use left and right arrows, ‘End”, and “Home” buttons to move the cursor as needed.</w:t>
      </w:r>
    </w:p>
    <w:p w:rsidR="00000000" w:rsidDel="00000000" w:rsidP="00000000" w:rsidRDefault="00000000" w:rsidRPr="00000000" w14:paraId="000000D3">
      <w:pPr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contextualSpacing w:val="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6. If you find typos, discrepancies, or errors, have questions, or need assistance, please email them at vguyevskey@vsb.bc.ca</w:t>
      </w:r>
    </w:p>
    <w:p w:rsidR="00000000" w:rsidDel="00000000" w:rsidP="00000000" w:rsidRDefault="00000000" w:rsidRPr="00000000" w14:paraId="000000D5">
      <w:pPr>
        <w:contextualSpacing w:val="0"/>
        <w:rPr>
          <w:rFonts w:ascii="Arial" w:cs="Arial" w:eastAsia="Arial" w:hAnsi="Arial"/>
          <w:sz w:val="19"/>
          <w:szCs w:val="19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pgSz w:h="11907" w:w="16840"/>
      <w:pgMar w:bottom="1559" w:top="1560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Arial"/>
  <w:font w:name="Verdana"/>
  <w:font w:name="Calibri"/>
  <w:font w:name="PT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ill San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contextualSpacing w:val="0"/>
      <w:jc w:val="left"/>
      <w:rPr>
        <w:rFonts w:ascii="PT Sans" w:cs="PT Sans" w:eastAsia="PT Sans" w:hAnsi="PT Sans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PT Sans" w:cs="PT Sans" w:eastAsia="PT Sans" w:hAnsi="PT Sans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Middle Years Programme Interactive Unit Planner</w:t>
      <w:tab/>
      <w:tab/>
      <w:tab/>
      <w:tab/>
      <w:tab/>
      <w:tab/>
      <w:tab/>
    </w:r>
    <w:r w:rsidDel="00000000" w:rsidR="00000000" w:rsidRPr="00000000">
      <w:rPr>
        <w:rFonts w:ascii="PT Sans" w:cs="PT Sans" w:eastAsia="PT Sans" w:hAnsi="PT Sans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8">
    <w:pPr>
      <w:pStyle w:val="Heading4"/>
      <w:tabs>
        <w:tab w:val="left" w:pos="907"/>
        <w:tab w:val="left" w:pos="1361"/>
        <w:tab w:val="left" w:pos="1814"/>
      </w:tabs>
      <w:contextualSpacing w:val="0"/>
      <w:rPr/>
    </w:pPr>
    <w:r w:rsidDel="00000000" w:rsidR="00000000" w:rsidRPr="00000000">
      <w:rPr>
        <w:rtl w:val="0"/>
      </w:rPr>
      <w:t xml:space="preserve">MYP unit planner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7447139</wp:posOffset>
          </wp:positionH>
          <wp:positionV relativeFrom="paragraph">
            <wp:posOffset>-62089</wp:posOffset>
          </wp:positionV>
          <wp:extent cx="1534372" cy="417689"/>
          <wp:effectExtent b="0" l="0" r="0" t="0"/>
          <wp:wrapNone/>
          <wp:docPr descr="cid:image001.gif@01CCBB47.D5F44790" id="1" name="image3.png"/>
          <a:graphic>
            <a:graphicData uri="http://schemas.openxmlformats.org/drawingml/2006/picture">
              <pic:pic>
                <pic:nvPicPr>
                  <pic:cNvPr descr="cid:image001.gif@01CCBB47.D5F44790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34372" cy="417689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en-GB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tabs>
        <w:tab w:val="left" w:pos="907"/>
        <w:tab w:val="left" w:pos="1361"/>
        <w:tab w:val="left" w:pos="1814"/>
      </w:tabs>
      <w:spacing w:after="120" w:before="240" w:lineRule="auto"/>
    </w:pPr>
    <w:rPr>
      <w:rFonts w:ascii="Gill Sans" w:cs="Gill Sans" w:eastAsia="Gill Sans" w:hAnsi="Gill Sans"/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tabs>
        <w:tab w:val="left" w:pos="907"/>
        <w:tab w:val="left" w:pos="1361"/>
        <w:tab w:val="left" w:pos="1814"/>
      </w:tabs>
      <w:spacing w:after="120" w:before="120" w:lineRule="auto"/>
    </w:pPr>
    <w:rPr>
      <w:rFonts w:ascii="Gill Sans" w:cs="Gill Sans" w:eastAsia="Gill Sans" w:hAnsi="Gill Sans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6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TSans-regular.ttf"/><Relationship Id="rId2" Type="http://schemas.openxmlformats.org/officeDocument/2006/relationships/font" Target="fonts/PTSans-bold.ttf"/><Relationship Id="rId3" Type="http://schemas.openxmlformats.org/officeDocument/2006/relationships/font" Target="fonts/PTSans-italic.ttf"/><Relationship Id="rId4" Type="http://schemas.openxmlformats.org/officeDocument/2006/relationships/font" Target="fonts/PTSans-boldItalic.ttf"/><Relationship Id="rId5" Type="http://schemas.openxmlformats.org/officeDocument/2006/relationships/font" Target="fonts/GillSans-regular.ttf"/><Relationship Id="rId6" Type="http://schemas.openxmlformats.org/officeDocument/2006/relationships/font" Target="fonts/GillSans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