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C61" w14:textId="00EED537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1C275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- Two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1C275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10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1C275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14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043B3B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February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033"/>
        <w:gridCol w:w="4289"/>
        <w:gridCol w:w="2773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297859C5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Pr="513FE366">
              <w:rPr>
                <w:b/>
                <w:bCs/>
              </w:rPr>
              <w:t xml:space="preserve">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LET I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–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4579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Ethical Concepts,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4579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Career considerations and Military Customs</w:t>
            </w:r>
            <w:r w:rsidR="0DB7F457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C235F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1E152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| 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LET III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Ethics in Leadership (U3L1L6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4DA36BC1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Two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1C27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10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1C27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14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February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7F40DF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6484E12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513FE366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89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513FE366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033" w:type="dxa"/>
            <w:vMerge/>
          </w:tcPr>
          <w:p w14:paraId="071DA5F3" w14:textId="77777777" w:rsidR="00286661" w:rsidRDefault="00286661"/>
        </w:tc>
        <w:tc>
          <w:tcPr>
            <w:tcW w:w="4289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513FE366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33" w:type="dxa"/>
            <w:vAlign w:val="center"/>
          </w:tcPr>
          <w:p w14:paraId="090B5AD8" w14:textId="2AA62749" w:rsidR="001E1524" w:rsidRPr="00FD09EB" w:rsidRDefault="00DE3045" w:rsidP="7B4A5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="006E2F52" w:rsidRPr="006E2F52">
              <w:rPr>
                <w:sz w:val="20"/>
                <w:szCs w:val="20"/>
              </w:rPr>
              <w:t xml:space="preserve">I will </w:t>
            </w:r>
            <w:r>
              <w:rPr>
                <w:sz w:val="20"/>
                <w:szCs w:val="20"/>
              </w:rPr>
              <w:t>be able to describe the three types of bullying, explain the difference between cyberbullying and bullying, list the risk factors for bullying, strategies for dealing with bullying and its effects.</w:t>
            </w:r>
          </w:p>
          <w:p w14:paraId="4B0BBEDD" w14:textId="77777777" w:rsidR="00043B78" w:rsidRDefault="00043B78" w:rsidP="00E63A37">
            <w:pPr>
              <w:jc w:val="center"/>
              <w:rPr>
                <w:sz w:val="20"/>
                <w:szCs w:val="20"/>
              </w:rPr>
            </w:pPr>
          </w:p>
          <w:p w14:paraId="643BC543" w14:textId="433DE16E" w:rsidR="001E1524" w:rsidRDefault="001E1524" w:rsidP="00845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</w:tcPr>
          <w:p w14:paraId="5640992A" w14:textId="77777777" w:rsidR="00155076" w:rsidRDefault="00155076" w:rsidP="00155076">
            <w:pPr>
              <w:jc w:val="center"/>
              <w:rPr>
                <w:sz w:val="20"/>
                <w:szCs w:val="20"/>
              </w:rPr>
            </w:pPr>
          </w:p>
          <w:p w14:paraId="27F5E4D1" w14:textId="52436B24" w:rsidR="00155076" w:rsidRDefault="00043B78" w:rsidP="00822E95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722D33" w14:textId="5A3CF7A9" w:rsidR="003E2B39" w:rsidRDefault="003E2B39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6CCD0639" w14:textId="0FED92CF" w:rsidR="00043B78" w:rsidRDefault="00F01986" w:rsidP="00DC142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cadets</w:t>
            </w:r>
            <w:r w:rsidR="00043B78">
              <w:rPr>
                <w:b/>
                <w:sz w:val="20"/>
                <w:szCs w:val="20"/>
              </w:rPr>
              <w:t xml:space="preserve">: </w:t>
            </w:r>
            <w:r w:rsidR="00845791">
              <w:rPr>
                <w:sz w:val="20"/>
                <w:szCs w:val="20"/>
              </w:rPr>
              <w:t>Will engage in an After Action Review</w:t>
            </w:r>
            <w:r w:rsidR="00AD0C9B">
              <w:rPr>
                <w:sz w:val="20"/>
                <w:szCs w:val="20"/>
              </w:rPr>
              <w:t xml:space="preserve"> of the JROTC Ball providing feedback about their experiences and if they observed any sources of ethical considerations during the event.</w:t>
            </w:r>
          </w:p>
          <w:p w14:paraId="2825CB71" w14:textId="4CFA8963" w:rsidR="00B11EC8" w:rsidRDefault="00B11EC8" w:rsidP="00DC1426">
            <w:pPr>
              <w:jc w:val="center"/>
              <w:rPr>
                <w:sz w:val="20"/>
                <w:szCs w:val="20"/>
              </w:rPr>
            </w:pPr>
          </w:p>
          <w:p w14:paraId="427584EA" w14:textId="05311D9F" w:rsidR="00B11EC8" w:rsidRDefault="00B11EC8" w:rsidP="00DC1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Cadets will engage in a conversation</w:t>
            </w:r>
            <w:r w:rsidR="00DE3045">
              <w:rPr>
                <w:sz w:val="20"/>
                <w:szCs w:val="20"/>
              </w:rPr>
              <w:t xml:space="preserve"> about bullying and begin the bullying Power Point</w:t>
            </w:r>
          </w:p>
          <w:p w14:paraId="50DE701C" w14:textId="77777777" w:rsidR="000F4AEA" w:rsidRDefault="000F4AEA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613B480F" w14:textId="77777777" w:rsidR="00D17439" w:rsidRPr="003E2B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12CF87BD" w14:textId="1223ABCB" w:rsidR="004D69DA" w:rsidRDefault="004D69DA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LET II’s ONLY </w:t>
            </w:r>
          </w:p>
          <w:p w14:paraId="34AB88B0" w14:textId="423252BD" w:rsidR="00964B32" w:rsidRDefault="007F40DF" w:rsidP="513FE366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461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99F0911" w:rsidRPr="513FE366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64B32">
              <w:rPr>
                <w:color w:val="000000" w:themeColor="text1"/>
                <w:sz w:val="20"/>
                <w:szCs w:val="20"/>
              </w:rPr>
              <w:t xml:space="preserve"> Bullying Tab in Cadet Portfolio 20 Feb 2025</w:t>
            </w:r>
          </w:p>
          <w:p w14:paraId="39833DC0" w14:textId="1E68C71E" w:rsidR="00964B32" w:rsidRPr="00964B32" w:rsidRDefault="299F0911" w:rsidP="513FE366">
            <w:pPr>
              <w:rPr>
                <w:color w:val="000000" w:themeColor="text1"/>
                <w:sz w:val="20"/>
                <w:szCs w:val="20"/>
              </w:rPr>
            </w:pPr>
            <w:r w:rsidRPr="513FE36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LET III’s Only </w:t>
            </w:r>
          </w:p>
          <w:p w14:paraId="57ECC392" w14:textId="05EE34B5" w:rsidR="00964B32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025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64B32">
              <w:rPr>
                <w:color w:val="000000" w:themeColor="text1"/>
                <w:sz w:val="20"/>
                <w:szCs w:val="20"/>
              </w:rPr>
              <w:t xml:space="preserve"> Addressing Prejudice Tab in Cadet Portfolio 20 Feb 2025</w:t>
            </w:r>
          </w:p>
          <w:p w14:paraId="6D0CE3B3" w14:textId="1A8769A6" w:rsidR="001C3A71" w:rsidRPr="00964B32" w:rsidRDefault="00043B3B" w:rsidP="00B36D1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3AC46A23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001089">
              <w:rPr>
                <w:color w:val="000000" w:themeColor="text1"/>
                <w:sz w:val="20"/>
                <w:szCs w:val="20"/>
              </w:rPr>
              <w:t>the three types of bullying</w:t>
            </w:r>
          </w:p>
          <w:p w14:paraId="488BC2C4" w14:textId="3F078361" w:rsidR="00174587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01986">
              <w:rPr>
                <w:color w:val="000000" w:themeColor="text1"/>
                <w:sz w:val="20"/>
                <w:szCs w:val="20"/>
              </w:rPr>
              <w:t>Know the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 difference between cyberbullying and bullying</w:t>
            </w:r>
          </w:p>
          <w:p w14:paraId="61DCC339" w14:textId="69509C52" w:rsidR="00FD09EB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 xml:space="preserve">Turn-in </w:t>
            </w:r>
            <w:r w:rsidR="00F01986">
              <w:rPr>
                <w:color w:val="000000" w:themeColor="text1"/>
                <w:sz w:val="20"/>
                <w:szCs w:val="20"/>
              </w:rPr>
              <w:t>current e</w:t>
            </w:r>
            <w:r w:rsidR="00DE3045">
              <w:rPr>
                <w:color w:val="000000" w:themeColor="text1"/>
                <w:sz w:val="20"/>
                <w:szCs w:val="20"/>
              </w:rPr>
              <w:t>vent which focuses on bullying</w:t>
            </w:r>
            <w:r w:rsidR="00F01986">
              <w:rPr>
                <w:color w:val="000000" w:themeColor="text1"/>
                <w:sz w:val="20"/>
                <w:szCs w:val="20"/>
              </w:rPr>
              <w:t>.</w:t>
            </w:r>
          </w:p>
          <w:p w14:paraId="44A43917" w14:textId="44AF5C80" w:rsidR="00F01986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1EC8">
              <w:rPr>
                <w:color w:val="000000" w:themeColor="text1"/>
                <w:sz w:val="20"/>
                <w:szCs w:val="20"/>
              </w:rPr>
              <w:t>No uniform Wear on Thursday</w:t>
            </w:r>
          </w:p>
          <w:p w14:paraId="72E9BE52" w14:textId="77777777" w:rsidR="00B11EC8" w:rsidRDefault="00B11EC8" w:rsidP="00043B3B">
            <w:pPr>
              <w:rPr>
                <w:color w:val="000000" w:themeColor="text1"/>
                <w:sz w:val="20"/>
                <w:szCs w:val="20"/>
              </w:rPr>
            </w:pPr>
          </w:p>
          <w:p w14:paraId="5CE8BF4A" w14:textId="34F3943C" w:rsidR="00043B3B" w:rsidRPr="00043B3B" w:rsidRDefault="00043B3B" w:rsidP="00043B3B">
            <w:pPr>
              <w:rPr>
                <w:b/>
                <w:color w:val="000000" w:themeColor="text1"/>
                <w:sz w:val="20"/>
                <w:szCs w:val="20"/>
              </w:rPr>
            </w:pPr>
            <w:r w:rsidRPr="00043B3B">
              <w:rPr>
                <w:b/>
                <w:color w:val="000000" w:themeColor="text1"/>
                <w:sz w:val="20"/>
                <w:szCs w:val="20"/>
              </w:rPr>
              <w:t xml:space="preserve"> Cadets will have an exam on Ethical concepts and </w:t>
            </w:r>
            <w:r w:rsidR="00001089">
              <w:rPr>
                <w:b/>
                <w:color w:val="000000" w:themeColor="text1"/>
                <w:sz w:val="20"/>
                <w:szCs w:val="20"/>
              </w:rPr>
              <w:t xml:space="preserve">bullying exam </w:t>
            </w:r>
            <w:r w:rsidRPr="00043B3B">
              <w:rPr>
                <w:b/>
                <w:color w:val="000000" w:themeColor="text1"/>
                <w:sz w:val="20"/>
                <w:szCs w:val="20"/>
              </w:rPr>
              <w:t>on 13 February 2025.</w:t>
            </w:r>
          </w:p>
          <w:p w14:paraId="1948A026" w14:textId="77777777" w:rsidR="00043B3B" w:rsidRDefault="00043B3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1C729D04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32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7F40DF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0F4FE177" w:rsidR="7B4A52E0" w:rsidRDefault="007F40DF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513FE366">
        <w:trPr>
          <w:trHeight w:val="1295"/>
        </w:trPr>
        <w:tc>
          <w:tcPr>
            <w:tcW w:w="1695" w:type="dxa"/>
            <w:vAlign w:val="center"/>
          </w:tcPr>
          <w:p w14:paraId="15A4F775" w14:textId="33A7AA05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33" w:type="dxa"/>
            <w:vAlign w:val="center"/>
          </w:tcPr>
          <w:p w14:paraId="0A01DAA8" w14:textId="77777777" w:rsidR="00DE3045" w:rsidRPr="00FD09EB" w:rsidRDefault="00DE3045" w:rsidP="00DE3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Cadets: </w:t>
            </w:r>
            <w:r w:rsidRPr="006E2F52">
              <w:rPr>
                <w:sz w:val="20"/>
                <w:szCs w:val="20"/>
              </w:rPr>
              <w:t xml:space="preserve">I will </w:t>
            </w:r>
            <w:r>
              <w:rPr>
                <w:sz w:val="20"/>
                <w:szCs w:val="20"/>
              </w:rPr>
              <w:t>be able to describe the three types of bullying, explain the difference between cyberbullying and bullying, list the risk factors for bullying, strategies for dealing with bullying and its effects.</w:t>
            </w:r>
          </w:p>
          <w:p w14:paraId="3F239328" w14:textId="2B9B9076" w:rsidR="00822E95" w:rsidRDefault="00822E95" w:rsidP="00F01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  <w:vAlign w:val="center"/>
          </w:tcPr>
          <w:p w14:paraId="7EB59BD1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6B2687FB" w14:textId="167C6894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3DC4B395" w14:textId="1511C227" w:rsidR="00B11EC8" w:rsidRDefault="00B11EC8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Cadets: Turn in current event on bullying</w:t>
            </w:r>
          </w:p>
          <w:p w14:paraId="14FD756E" w14:textId="65521454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18E2C345" w14:textId="329FED54" w:rsidR="00B11EC8" w:rsidRDefault="00001089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review and study guide issuance. </w:t>
            </w:r>
          </w:p>
          <w:p w14:paraId="30934918" w14:textId="12C41AB0" w:rsidR="004D69DA" w:rsidRDefault="004D69DA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 III’s</w:t>
            </w:r>
          </w:p>
          <w:p w14:paraId="08409693" w14:textId="7AC6FBB5" w:rsidR="004D69DA" w:rsidRDefault="004D69DA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Plan for PT and drill. </w:t>
            </w:r>
            <w:r w:rsidR="00AD0C9B">
              <w:rPr>
                <w:sz w:val="20"/>
                <w:szCs w:val="20"/>
              </w:rPr>
              <w:t>Select cadets will begin planning for All County Field Day on the 28</w:t>
            </w:r>
            <w:r w:rsidR="00AD0C9B" w:rsidRPr="00AD0C9B">
              <w:rPr>
                <w:sz w:val="20"/>
                <w:szCs w:val="20"/>
                <w:vertAlign w:val="superscript"/>
              </w:rPr>
              <w:t>th</w:t>
            </w:r>
            <w:r w:rsidR="00AD0C9B">
              <w:rPr>
                <w:sz w:val="20"/>
                <w:szCs w:val="20"/>
              </w:rPr>
              <w:t xml:space="preserve"> of March and Awards Day on April 24th</w:t>
            </w:r>
          </w:p>
          <w:p w14:paraId="340F4810" w14:textId="77777777" w:rsidR="004D69DA" w:rsidRDefault="004D69DA" w:rsidP="00155076">
            <w:pPr>
              <w:jc w:val="center"/>
              <w:rPr>
                <w:sz w:val="20"/>
                <w:szCs w:val="20"/>
              </w:rPr>
            </w:pPr>
          </w:p>
          <w:p w14:paraId="759B2434" w14:textId="70CBBD48" w:rsidR="00295028" w:rsidRPr="00B11EC8" w:rsidRDefault="00B11EC8" w:rsidP="00155076">
            <w:pPr>
              <w:jc w:val="center"/>
              <w:rPr>
                <w:b/>
                <w:sz w:val="20"/>
                <w:szCs w:val="20"/>
              </w:rPr>
            </w:pPr>
            <w:r w:rsidRPr="00B11EC8">
              <w:rPr>
                <w:b/>
                <w:sz w:val="20"/>
                <w:szCs w:val="20"/>
              </w:rPr>
              <w:t>Note: Cadets that complete the study guide will receive extra points towards their lowest assignment.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513FE366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33" w:type="dxa"/>
            <w:vAlign w:val="center"/>
          </w:tcPr>
          <w:p w14:paraId="362648DD" w14:textId="5424374D" w:rsidR="00901B85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</w:t>
            </w:r>
            <w:r w:rsidR="00901B85">
              <w:rPr>
                <w:sz w:val="20"/>
                <w:szCs w:val="20"/>
              </w:rPr>
              <w:t xml:space="preserve"> will demonstrate knowledge of Physical Training preparation</w:t>
            </w:r>
          </w:p>
        </w:tc>
        <w:tc>
          <w:tcPr>
            <w:tcW w:w="4289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4D3BBE18" w:rsidR="00901B85" w:rsidRPr="00B36D12" w:rsidRDefault="00B36D12" w:rsidP="00B36D12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engage in </w:t>
            </w:r>
            <w:r w:rsidR="00901B85" w:rsidRPr="00B36D12">
              <w:rPr>
                <w:sz w:val="20"/>
                <w:szCs w:val="20"/>
              </w:rPr>
              <w:t>Physical Fitness training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513FE366">
        <w:trPr>
          <w:trHeight w:val="1331"/>
        </w:trPr>
        <w:tc>
          <w:tcPr>
            <w:tcW w:w="169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33" w:type="dxa"/>
            <w:vAlign w:val="center"/>
          </w:tcPr>
          <w:p w14:paraId="01C21E28" w14:textId="652135FF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B36D12">
              <w:rPr>
                <w:sz w:val="20"/>
                <w:szCs w:val="20"/>
              </w:rPr>
              <w:t>learn how to better maintain my uniform</w:t>
            </w:r>
          </w:p>
        </w:tc>
        <w:tc>
          <w:tcPr>
            <w:tcW w:w="4289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A7D0A89" w14:textId="156A1E12" w:rsidR="00B36D12" w:rsidRPr="00F01986" w:rsidRDefault="00AD0C9B" w:rsidP="00B11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Uniform Wear, all cadets will take the Ethical concepts and career considerations exam.</w:t>
            </w:r>
            <w:r w:rsidR="00B11E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513FE366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033" w:type="dxa"/>
            <w:vAlign w:val="center"/>
          </w:tcPr>
          <w:p w14:paraId="3B707949" w14:textId="2A71C3AC" w:rsidR="7B4A52E0" w:rsidRDefault="00B11EC8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Holiday</w:t>
            </w:r>
          </w:p>
        </w:tc>
        <w:tc>
          <w:tcPr>
            <w:tcW w:w="4289" w:type="dxa"/>
            <w:vAlign w:val="center"/>
          </w:tcPr>
          <w:p w14:paraId="33E9943E" w14:textId="4CFD8F98" w:rsidR="7B4A52E0" w:rsidRDefault="00B11EC8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Holiday</w:t>
            </w:r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BE8D" w14:textId="77777777" w:rsidR="007F40DF" w:rsidRDefault="007F40DF">
      <w:pPr>
        <w:spacing w:after="0" w:line="240" w:lineRule="auto"/>
      </w:pPr>
      <w:r>
        <w:separator/>
      </w:r>
    </w:p>
  </w:endnote>
  <w:endnote w:type="continuationSeparator" w:id="0">
    <w:p w14:paraId="0424C53A" w14:textId="77777777" w:rsidR="007F40DF" w:rsidRDefault="007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D75BF" w14:textId="77777777" w:rsidR="007F40DF" w:rsidRDefault="007F40DF">
      <w:pPr>
        <w:spacing w:after="0" w:line="240" w:lineRule="auto"/>
      </w:pPr>
      <w:r>
        <w:separator/>
      </w:r>
    </w:p>
  </w:footnote>
  <w:footnote w:type="continuationSeparator" w:id="0">
    <w:p w14:paraId="1AC44466" w14:textId="77777777" w:rsidR="007F40DF" w:rsidRDefault="007F40D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089"/>
    <w:rsid w:val="00012015"/>
    <w:rsid w:val="0001481D"/>
    <w:rsid w:val="00032017"/>
    <w:rsid w:val="00037ADB"/>
    <w:rsid w:val="00043B3B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511F9"/>
    <w:rsid w:val="00365E7D"/>
    <w:rsid w:val="003802A6"/>
    <w:rsid w:val="0038232D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7F40DF"/>
    <w:rsid w:val="00802F74"/>
    <w:rsid w:val="0080799B"/>
    <w:rsid w:val="00822E95"/>
    <w:rsid w:val="00825C2A"/>
    <w:rsid w:val="00845791"/>
    <w:rsid w:val="00863D75"/>
    <w:rsid w:val="008672C1"/>
    <w:rsid w:val="00890746"/>
    <w:rsid w:val="00892BDA"/>
    <w:rsid w:val="008956C9"/>
    <w:rsid w:val="008A72F6"/>
    <w:rsid w:val="008E2890"/>
    <w:rsid w:val="00901B85"/>
    <w:rsid w:val="00927CE6"/>
    <w:rsid w:val="00940565"/>
    <w:rsid w:val="0096039E"/>
    <w:rsid w:val="00960698"/>
    <w:rsid w:val="0096378B"/>
    <w:rsid w:val="00964B32"/>
    <w:rsid w:val="00972908"/>
    <w:rsid w:val="0098238F"/>
    <w:rsid w:val="00984930"/>
    <w:rsid w:val="009A05B1"/>
    <w:rsid w:val="009A2941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4DF55-9AFF-470A-94D2-B338B7B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2025-02-03T13:38:00Z</cp:lastPrinted>
  <dcterms:created xsi:type="dcterms:W3CDTF">2025-02-10T16:56:00Z</dcterms:created>
  <dcterms:modified xsi:type="dcterms:W3CDTF">2025-02-10T16:56:00Z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