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302C" w14:textId="77777777" w:rsidR="004F7DE4" w:rsidRPr="004F7DE4" w:rsidRDefault="004F7DE4" w:rsidP="004F7D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F7DE4">
        <w:rPr>
          <w:rFonts w:ascii="Times New Roman" w:eastAsia="Times New Roman" w:hAnsi="Times New Roman" w:cs="Times New Roman"/>
          <w:b/>
          <w:bCs/>
          <w:sz w:val="36"/>
          <w:szCs w:val="36"/>
        </w:rPr>
        <w:t>Week at a Glance – Band (Field Show Music)</w:t>
      </w:r>
    </w:p>
    <w:p w14:paraId="6735C486" w14:textId="3F1A819E" w:rsidR="004F7DE4" w:rsidRPr="004F7DE4" w:rsidRDefault="004F7DE4" w:rsidP="004F7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Colon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Band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Field Show Music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HS Band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CB379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CB3796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/25-0</w:t>
      </w:r>
      <w:r w:rsidR="00CB379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CB3796">
        <w:rPr>
          <w:rFonts w:ascii="Times New Roman" w:eastAsia="Times New Roman" w:hAnsi="Times New Roman" w:cs="Times New Roman"/>
          <w:sz w:val="24"/>
          <w:szCs w:val="24"/>
        </w:rPr>
        <w:t>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/25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DE4">
        <w:rPr>
          <w:rFonts w:ascii="Segoe UI Emoji" w:eastAsia="Times New Roman" w:hAnsi="Segoe UI Emoji" w:cs="Segoe UI Emoji"/>
          <w:sz w:val="24"/>
          <w:szCs w:val="24"/>
        </w:rPr>
        <w:t>🎵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Performance Checks (Daily Formative), </w:t>
      </w:r>
      <w:r w:rsidRPr="004F7DE4">
        <w:rPr>
          <w:rFonts w:ascii="Segoe UI Emoji" w:eastAsia="Times New Roman" w:hAnsi="Segoe UI Emoji" w:cs="Segoe UI Emoji"/>
          <w:sz w:val="24"/>
          <w:szCs w:val="24"/>
        </w:rPr>
        <w:t>🎵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Friday Run-through Recording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291"/>
        <w:gridCol w:w="1655"/>
        <w:gridCol w:w="1335"/>
        <w:gridCol w:w="1490"/>
        <w:gridCol w:w="1863"/>
        <w:gridCol w:w="1879"/>
        <w:gridCol w:w="1528"/>
        <w:gridCol w:w="1417"/>
        <w:gridCol w:w="1357"/>
      </w:tblGrid>
      <w:tr w:rsidR="004F7DE4" w:rsidRPr="004F7DE4" w14:paraId="753EB17D" w14:textId="77777777" w:rsidTr="004F7D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C13FE5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4BCE74B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Pre-Teaching / Learning Target</w:t>
            </w:r>
          </w:p>
        </w:tc>
        <w:tc>
          <w:tcPr>
            <w:tcW w:w="0" w:type="auto"/>
            <w:vAlign w:val="center"/>
            <w:hideMark/>
          </w:tcPr>
          <w:p w14:paraId="6E01FD70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vAlign w:val="center"/>
            <w:hideMark/>
          </w:tcPr>
          <w:p w14:paraId="5D649FAE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vAlign w:val="center"/>
            <w:hideMark/>
          </w:tcPr>
          <w:p w14:paraId="784EC8EC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017F0976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(I DO – 10 min)</w:t>
            </w:r>
          </w:p>
        </w:tc>
        <w:tc>
          <w:tcPr>
            <w:tcW w:w="0" w:type="auto"/>
            <w:vAlign w:val="center"/>
            <w:hideMark/>
          </w:tcPr>
          <w:p w14:paraId="019AB3EF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(WE DO – 10 min)</w:t>
            </w:r>
          </w:p>
        </w:tc>
        <w:tc>
          <w:tcPr>
            <w:tcW w:w="0" w:type="auto"/>
            <w:vAlign w:val="center"/>
            <w:hideMark/>
          </w:tcPr>
          <w:p w14:paraId="26F596EB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(Y’ALL DO – 10 min)</w:t>
            </w:r>
          </w:p>
        </w:tc>
        <w:tc>
          <w:tcPr>
            <w:tcW w:w="0" w:type="auto"/>
            <w:vAlign w:val="center"/>
            <w:hideMark/>
          </w:tcPr>
          <w:p w14:paraId="36AB7219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(YOU DO – 10 min)</w:t>
            </w:r>
          </w:p>
        </w:tc>
        <w:tc>
          <w:tcPr>
            <w:tcW w:w="0" w:type="auto"/>
            <w:vAlign w:val="center"/>
            <w:hideMark/>
          </w:tcPr>
          <w:p w14:paraId="6A450787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4F7DE4" w:rsidRPr="004F7DE4" w14:paraId="2C1F997F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BF46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0E4B23B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measures 1–32 of the field show with accurate rhythms.</w:t>
            </w:r>
          </w:p>
        </w:tc>
        <w:tc>
          <w:tcPr>
            <w:tcW w:w="0" w:type="auto"/>
            <w:vAlign w:val="center"/>
            <w:hideMark/>
          </w:tcPr>
          <w:p w14:paraId="73A56A89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Play rhythms correctly with subdivision.</w:t>
            </w:r>
          </w:p>
        </w:tc>
        <w:tc>
          <w:tcPr>
            <w:tcW w:w="0" w:type="auto"/>
            <w:vAlign w:val="center"/>
            <w:hideMark/>
          </w:tcPr>
          <w:p w14:paraId="2BF4ED50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steady tempo with conductor.</w:t>
            </w:r>
          </w:p>
        </w:tc>
        <w:tc>
          <w:tcPr>
            <w:tcW w:w="0" w:type="auto"/>
            <w:vAlign w:val="center"/>
            <w:hideMark/>
          </w:tcPr>
          <w:p w14:paraId="6E40E8B5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Quick Write: “What’s the toughest rhythm in M.1–32?”</w:t>
            </w:r>
          </w:p>
        </w:tc>
        <w:tc>
          <w:tcPr>
            <w:tcW w:w="0" w:type="auto"/>
            <w:vAlign w:val="center"/>
            <w:hideMark/>
          </w:tcPr>
          <w:p w14:paraId="4B2C4F01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Think Aloud: Director models clapping/counting rhythms.</w:t>
            </w:r>
          </w:p>
        </w:tc>
        <w:tc>
          <w:tcPr>
            <w:tcW w:w="0" w:type="auto"/>
            <w:vAlign w:val="center"/>
            <w:hideMark/>
          </w:tcPr>
          <w:p w14:paraId="7DDFBEE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Teacher-led sectional with prompting &amp; cueing.</w:t>
            </w:r>
          </w:p>
        </w:tc>
        <w:tc>
          <w:tcPr>
            <w:tcW w:w="0" w:type="auto"/>
            <w:vAlign w:val="center"/>
            <w:hideMark/>
          </w:tcPr>
          <w:p w14:paraId="0BAB0F6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Jigsaw – brass, woodwinds, percussion refine sections &amp; teach back.</w:t>
            </w:r>
          </w:p>
        </w:tc>
        <w:tc>
          <w:tcPr>
            <w:tcW w:w="0" w:type="auto"/>
            <w:vAlign w:val="center"/>
            <w:hideMark/>
          </w:tcPr>
          <w:p w14:paraId="3C7A2BCC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practice with metronome at 70 bpm.</w:t>
            </w:r>
          </w:p>
        </w:tc>
        <w:tc>
          <w:tcPr>
            <w:tcW w:w="0" w:type="auto"/>
            <w:vAlign w:val="center"/>
            <w:hideMark/>
          </w:tcPr>
          <w:p w14:paraId="35EEFAFD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Exit Ticket: Record 4 measures &amp; upload to Canvas.</w:t>
            </w:r>
          </w:p>
        </w:tc>
      </w:tr>
      <w:tr w:rsidR="004F7DE4" w:rsidRPr="004F7DE4" w14:paraId="6E3A9436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071F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50308F28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with correct articulation and dynamics in M.33–64.</w:t>
            </w:r>
          </w:p>
        </w:tc>
        <w:tc>
          <w:tcPr>
            <w:tcW w:w="0" w:type="auto"/>
            <w:vAlign w:val="center"/>
            <w:hideMark/>
          </w:tcPr>
          <w:p w14:paraId="71F0D27C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Play with correct tonguing/attack.</w:t>
            </w:r>
          </w:p>
        </w:tc>
        <w:tc>
          <w:tcPr>
            <w:tcW w:w="0" w:type="auto"/>
            <w:vAlign w:val="center"/>
            <w:hideMark/>
          </w:tcPr>
          <w:p w14:paraId="3EC7E0E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Match written dynamics.</w:t>
            </w:r>
          </w:p>
        </w:tc>
        <w:tc>
          <w:tcPr>
            <w:tcW w:w="0" w:type="auto"/>
            <w:vAlign w:val="center"/>
            <w:hideMark/>
          </w:tcPr>
          <w:p w14:paraId="150BA928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KWL Chart – “What do I know about dynamic contrast?”</w:t>
            </w:r>
          </w:p>
        </w:tc>
        <w:tc>
          <w:tcPr>
            <w:tcW w:w="0" w:type="auto"/>
            <w:vAlign w:val="center"/>
            <w:hideMark/>
          </w:tcPr>
          <w:p w14:paraId="7B650F9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Demonstration: Director models articulation styles.</w:t>
            </w:r>
          </w:p>
        </w:tc>
        <w:tc>
          <w:tcPr>
            <w:tcW w:w="0" w:type="auto"/>
            <w:vAlign w:val="center"/>
            <w:hideMark/>
          </w:tcPr>
          <w:p w14:paraId="6F13E63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Graphic Organizer: Mark music with breath/articulation cues.</w:t>
            </w:r>
          </w:p>
        </w:tc>
        <w:tc>
          <w:tcPr>
            <w:tcW w:w="0" w:type="auto"/>
            <w:vAlign w:val="center"/>
            <w:hideMark/>
          </w:tcPr>
          <w:p w14:paraId="69732457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Peer Feedback: Partners listen and score dynamics using rubric.</w:t>
            </w:r>
          </w:p>
        </w:tc>
        <w:tc>
          <w:tcPr>
            <w:tcW w:w="0" w:type="auto"/>
            <w:vAlign w:val="center"/>
            <w:hideMark/>
          </w:tcPr>
          <w:p w14:paraId="01461A8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Goal Setting: Students practice 5 minutes targeting dynamics.</w:t>
            </w:r>
          </w:p>
        </w:tc>
        <w:tc>
          <w:tcPr>
            <w:tcW w:w="0" w:type="auto"/>
            <w:vAlign w:val="center"/>
            <w:hideMark/>
          </w:tcPr>
          <w:p w14:paraId="7973E58F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3-2-1 Summary: 3 things improved, 2 still tricky, 1 strategy.</w:t>
            </w:r>
          </w:p>
        </w:tc>
      </w:tr>
      <w:tr w:rsidR="004F7DE4" w:rsidRPr="004F7DE4" w14:paraId="411DB980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4CB5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4809757D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transitions between sections (M.65–96) without stopping.</w:t>
            </w:r>
          </w:p>
        </w:tc>
        <w:tc>
          <w:tcPr>
            <w:tcW w:w="0" w:type="auto"/>
            <w:vAlign w:val="center"/>
            <w:hideMark/>
          </w:tcPr>
          <w:p w14:paraId="2DED0EAF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Enter at correct cutoffs and pickups.</w:t>
            </w:r>
          </w:p>
        </w:tc>
        <w:tc>
          <w:tcPr>
            <w:tcW w:w="0" w:type="auto"/>
            <w:vAlign w:val="center"/>
            <w:hideMark/>
          </w:tcPr>
          <w:p w14:paraId="7A5913FB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balance between sections.</w:t>
            </w:r>
          </w:p>
        </w:tc>
        <w:tc>
          <w:tcPr>
            <w:tcW w:w="0" w:type="auto"/>
            <w:vAlign w:val="center"/>
            <w:hideMark/>
          </w:tcPr>
          <w:p w14:paraId="46607E2B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Anticipation Guide – predict toughest transition.</w:t>
            </w:r>
          </w:p>
        </w:tc>
        <w:tc>
          <w:tcPr>
            <w:tcW w:w="0" w:type="auto"/>
            <w:vAlign w:val="center"/>
            <w:hideMark/>
          </w:tcPr>
          <w:p w14:paraId="7ED5065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Worked Example: Director models transition from low brass → full band.</w:t>
            </w:r>
          </w:p>
        </w:tc>
        <w:tc>
          <w:tcPr>
            <w:tcW w:w="0" w:type="auto"/>
            <w:vAlign w:val="center"/>
            <w:hideMark/>
          </w:tcPr>
          <w:p w14:paraId="4D6240A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Call &amp; Response – play/echo phrases together.</w:t>
            </w:r>
          </w:p>
        </w:tc>
        <w:tc>
          <w:tcPr>
            <w:tcW w:w="0" w:type="auto"/>
            <w:vAlign w:val="center"/>
            <w:hideMark/>
          </w:tcPr>
          <w:p w14:paraId="4D5828DA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Team Problem Solving: Sections coordinate entrances.</w:t>
            </w:r>
          </w:p>
        </w:tc>
        <w:tc>
          <w:tcPr>
            <w:tcW w:w="0" w:type="auto"/>
            <w:vAlign w:val="center"/>
            <w:hideMark/>
          </w:tcPr>
          <w:p w14:paraId="4A2424A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practice looping trouble measures.</w:t>
            </w:r>
          </w:p>
        </w:tc>
        <w:tc>
          <w:tcPr>
            <w:tcW w:w="0" w:type="auto"/>
            <w:vAlign w:val="center"/>
            <w:hideMark/>
          </w:tcPr>
          <w:p w14:paraId="679E5B3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Peer Debrief: Share one fix that worked.</w:t>
            </w:r>
          </w:p>
        </w:tc>
      </w:tr>
      <w:tr w:rsidR="004F7DE4" w:rsidRPr="004F7DE4" w14:paraId="2A8BB3CF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234A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Thu</w:t>
            </w:r>
          </w:p>
        </w:tc>
        <w:tc>
          <w:tcPr>
            <w:tcW w:w="0" w:type="auto"/>
            <w:vAlign w:val="center"/>
            <w:hideMark/>
          </w:tcPr>
          <w:p w14:paraId="4E8A9347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the entire opener (M.1–96) with ensemble precision.</w:t>
            </w:r>
          </w:p>
        </w:tc>
        <w:tc>
          <w:tcPr>
            <w:tcW w:w="0" w:type="auto"/>
            <w:vAlign w:val="center"/>
            <w:hideMark/>
          </w:tcPr>
          <w:p w14:paraId="3540F5D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Stay aligned with director’s cues.</w:t>
            </w:r>
          </w:p>
        </w:tc>
        <w:tc>
          <w:tcPr>
            <w:tcW w:w="0" w:type="auto"/>
            <w:vAlign w:val="center"/>
            <w:hideMark/>
          </w:tcPr>
          <w:p w14:paraId="18250EC8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tone quality across dynamic levels.</w:t>
            </w:r>
          </w:p>
        </w:tc>
        <w:tc>
          <w:tcPr>
            <w:tcW w:w="0" w:type="auto"/>
            <w:vAlign w:val="center"/>
            <w:hideMark/>
          </w:tcPr>
          <w:p w14:paraId="60B4CCEC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Do Now: Play concert F as a full ensemble.</w:t>
            </w:r>
          </w:p>
        </w:tc>
        <w:tc>
          <w:tcPr>
            <w:tcW w:w="0" w:type="auto"/>
            <w:vAlign w:val="center"/>
            <w:hideMark/>
          </w:tcPr>
          <w:p w14:paraId="13265167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Anchor Chart: Post success criteria &amp; reminders for blend/balance.</w:t>
            </w:r>
          </w:p>
        </w:tc>
        <w:tc>
          <w:tcPr>
            <w:tcW w:w="0" w:type="auto"/>
            <w:vAlign w:val="center"/>
            <w:hideMark/>
          </w:tcPr>
          <w:p w14:paraId="400DA3D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Teacher-led small group on blend within sections.</w:t>
            </w:r>
          </w:p>
        </w:tc>
        <w:tc>
          <w:tcPr>
            <w:tcW w:w="0" w:type="auto"/>
            <w:vAlign w:val="center"/>
            <w:hideMark/>
          </w:tcPr>
          <w:p w14:paraId="6652B37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Gallery Walk – groups perform opener section, peers give feedback.</w:t>
            </w:r>
          </w:p>
        </w:tc>
        <w:tc>
          <w:tcPr>
            <w:tcW w:w="0" w:type="auto"/>
            <w:vAlign w:val="center"/>
            <w:hideMark/>
          </w:tcPr>
          <w:p w14:paraId="0DBB9F98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refinement of assigned measures.</w:t>
            </w:r>
          </w:p>
        </w:tc>
        <w:tc>
          <w:tcPr>
            <w:tcW w:w="0" w:type="auto"/>
            <w:vAlign w:val="center"/>
            <w:hideMark/>
          </w:tcPr>
          <w:p w14:paraId="71E64902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One-Minute Summary: “What improved today in ensemble sound?”</w:t>
            </w:r>
          </w:p>
        </w:tc>
      </w:tr>
      <w:tr w:rsidR="004F7DE4" w:rsidRPr="004F7DE4" w14:paraId="67E729D9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DDD32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139BAE91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a full run-through of the opener confidently.</w:t>
            </w:r>
          </w:p>
        </w:tc>
        <w:tc>
          <w:tcPr>
            <w:tcW w:w="0" w:type="auto"/>
            <w:vAlign w:val="center"/>
            <w:hideMark/>
          </w:tcPr>
          <w:p w14:paraId="5684BDA0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Stay in tempo for entire section.</w:t>
            </w:r>
          </w:p>
        </w:tc>
        <w:tc>
          <w:tcPr>
            <w:tcW w:w="0" w:type="auto"/>
            <w:vAlign w:val="center"/>
            <w:hideMark/>
          </w:tcPr>
          <w:p w14:paraId="3D6B91DF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expression and energy.</w:t>
            </w:r>
          </w:p>
        </w:tc>
        <w:tc>
          <w:tcPr>
            <w:tcW w:w="0" w:type="auto"/>
            <w:vAlign w:val="center"/>
            <w:hideMark/>
          </w:tcPr>
          <w:p w14:paraId="62C7DD52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Think-Pair-Share: “What’s our biggest challenge before competition?”</w:t>
            </w:r>
          </w:p>
        </w:tc>
        <w:tc>
          <w:tcPr>
            <w:tcW w:w="0" w:type="auto"/>
            <w:vAlign w:val="center"/>
            <w:hideMark/>
          </w:tcPr>
          <w:p w14:paraId="28826D4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Instruction: Quick reminders on phrasing &amp; style.</w:t>
            </w:r>
          </w:p>
        </w:tc>
        <w:tc>
          <w:tcPr>
            <w:tcW w:w="0" w:type="auto"/>
            <w:vAlign w:val="center"/>
            <w:hideMark/>
          </w:tcPr>
          <w:p w14:paraId="2EA80CFF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Socratic Seminar: Discuss musical expression choices.</w:t>
            </w:r>
          </w:p>
        </w:tc>
        <w:tc>
          <w:tcPr>
            <w:tcW w:w="0" w:type="auto"/>
            <w:vAlign w:val="center"/>
            <w:hideMark/>
          </w:tcPr>
          <w:p w14:paraId="00076D4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Full ensemble run-through, recording for reflection.</w:t>
            </w:r>
          </w:p>
        </w:tc>
        <w:tc>
          <w:tcPr>
            <w:tcW w:w="0" w:type="auto"/>
            <w:vAlign w:val="center"/>
            <w:hideMark/>
          </w:tcPr>
          <w:p w14:paraId="37F8F492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Self-assessment checklist while listening to playback.</w:t>
            </w:r>
          </w:p>
        </w:tc>
        <w:tc>
          <w:tcPr>
            <w:tcW w:w="0" w:type="auto"/>
            <w:vAlign w:val="center"/>
            <w:hideMark/>
          </w:tcPr>
          <w:p w14:paraId="64CB577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Revisit LT: Rate performance 1–4 &amp; set next week’s goal.</w:t>
            </w:r>
          </w:p>
        </w:tc>
      </w:tr>
    </w:tbl>
    <w:p w14:paraId="2A3D5DD3" w14:textId="77777777" w:rsidR="004F7DE4" w:rsidRPr="004F7DE4" w:rsidRDefault="00CB3796" w:rsidP="004F7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A3706C3">
          <v:rect id="_x0000_i1025" style="width:0;height:1.5pt" o:hralign="center" o:hrstd="t" o:hr="t" fillcolor="#a0a0a0" stroked="f"/>
        </w:pict>
      </w:r>
    </w:p>
    <w:p w14:paraId="0F452206" w14:textId="77777777" w:rsidR="00A45A28" w:rsidRDefault="00A45A28"/>
    <w:sectPr w:rsidR="00A45A28" w:rsidSect="004F7D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E4"/>
    <w:rsid w:val="004F7DE4"/>
    <w:rsid w:val="00A45A28"/>
    <w:rsid w:val="00B50C0B"/>
    <w:rsid w:val="00C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5F7D13"/>
  <w15:chartTrackingRefBased/>
  <w15:docId w15:val="{B4D3C1FE-04F8-4F7E-9574-521951C9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7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7D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2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349AD-79BD-4BB6-8EA3-E3D60D7B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37F78-F9F7-401F-A9F0-DDDF024FEDE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89025da-66cf-4eca-8f29-fedb1a61258b"/>
    <ds:schemaRef ds:uri="http://purl.org/dc/terms/"/>
    <ds:schemaRef ds:uri="5d4f74fa-b1a9-46bf-a8f7-439e21d7bc8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669ED3-8994-493C-AABC-A6263D46D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Week at a Glance – Band (Field Show Music)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Brandi</dc:creator>
  <cp:keywords/>
  <dc:description/>
  <cp:lastModifiedBy>Colon, Brandi</cp:lastModifiedBy>
  <cp:revision>2</cp:revision>
  <dcterms:created xsi:type="dcterms:W3CDTF">2025-08-25T11:59:00Z</dcterms:created>
  <dcterms:modified xsi:type="dcterms:W3CDTF">2025-08-25T11:59:00Z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